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1AE" w:rsidRPr="00E8444D" w:rsidRDefault="000C41AE" w:rsidP="00CC3DF9">
      <w:pPr>
        <w:bidi/>
        <w:spacing w:after="0" w:line="240" w:lineRule="auto"/>
        <w:ind w:left="180" w:right="90"/>
        <w:jc w:val="center"/>
        <w:rPr>
          <w:rFonts w:ascii="Simplified Arabic" w:eastAsia="Times New Roman" w:hAnsi="Simplified Arabic" w:cs="Simplified Arabic"/>
          <w:sz w:val="24"/>
          <w:szCs w:val="24"/>
        </w:rPr>
      </w:pPr>
      <w:r w:rsidRPr="00E8444D">
        <w:rPr>
          <w:rFonts w:ascii="Simplified Arabic" w:eastAsia="Times New Roman" w:hAnsi="Simplified Arabic" w:cs="Simplified Arabic"/>
          <w:b/>
          <w:bCs/>
          <w:sz w:val="24"/>
          <w:szCs w:val="24"/>
          <w:rtl/>
          <w:lang w:bidi="ar-SY"/>
        </w:rPr>
        <w:t>الإرشَادْ الرَسولي</w:t>
      </w:r>
    </w:p>
    <w:p w:rsidR="000C41AE" w:rsidRPr="00E8444D" w:rsidRDefault="000C41AE" w:rsidP="00CC3DF9">
      <w:pPr>
        <w:bidi/>
        <w:spacing w:after="0" w:line="240" w:lineRule="auto"/>
        <w:ind w:left="180" w:right="90"/>
        <w:jc w:val="center"/>
        <w:rPr>
          <w:rFonts w:ascii="Simplified Arabic" w:eastAsia="Times New Roman" w:hAnsi="Simplified Arabic" w:cs="Simplified Arabic"/>
          <w:sz w:val="24"/>
          <w:szCs w:val="24"/>
          <w:rtl/>
        </w:rPr>
      </w:pPr>
      <w:r w:rsidRPr="00E8444D">
        <w:rPr>
          <w:rFonts w:ascii="Simplified Arabic" w:eastAsia="Times New Roman" w:hAnsi="Simplified Arabic" w:cs="Simplified Arabic"/>
          <w:b/>
          <w:bCs/>
          <w:sz w:val="24"/>
          <w:szCs w:val="24"/>
          <w:rtl/>
          <w:lang w:bidi="ar-SY"/>
        </w:rPr>
        <w:t>رَجاءٌ جَديدٌ لِلُبنان</w:t>
      </w:r>
    </w:p>
    <w:p w:rsidR="000C41AE" w:rsidRPr="00E8444D" w:rsidRDefault="000C41AE" w:rsidP="00CC3DF9">
      <w:pPr>
        <w:bidi/>
        <w:spacing w:after="0" w:line="240" w:lineRule="auto"/>
        <w:ind w:left="180" w:right="90"/>
        <w:jc w:val="center"/>
        <w:rPr>
          <w:rFonts w:ascii="Simplified Arabic" w:eastAsia="Times New Roman" w:hAnsi="Simplified Arabic" w:cs="Simplified Arabic"/>
          <w:sz w:val="24"/>
          <w:szCs w:val="24"/>
          <w:rtl/>
        </w:rPr>
      </w:pPr>
      <w:r w:rsidRPr="00E8444D">
        <w:rPr>
          <w:rFonts w:ascii="Simplified Arabic" w:eastAsia="Times New Roman" w:hAnsi="Simplified Arabic" w:cs="Simplified Arabic"/>
          <w:b/>
          <w:bCs/>
          <w:sz w:val="24"/>
          <w:szCs w:val="24"/>
          <w:rtl/>
          <w:lang w:bidi="ar-SY"/>
        </w:rPr>
        <w:t>وجّههُ بعد السينودُس</w:t>
      </w:r>
    </w:p>
    <w:p w:rsidR="000C41AE" w:rsidRPr="00E8444D" w:rsidRDefault="000C41AE" w:rsidP="00CC3DF9">
      <w:pPr>
        <w:bidi/>
        <w:spacing w:after="0" w:line="240" w:lineRule="auto"/>
        <w:ind w:left="180" w:right="90"/>
        <w:jc w:val="center"/>
        <w:rPr>
          <w:rFonts w:ascii="Simplified Arabic" w:eastAsia="Times New Roman" w:hAnsi="Simplified Arabic" w:cs="Simplified Arabic"/>
          <w:sz w:val="24"/>
          <w:szCs w:val="24"/>
          <w:rtl/>
        </w:rPr>
      </w:pPr>
      <w:r w:rsidRPr="00E8444D">
        <w:rPr>
          <w:rFonts w:ascii="Simplified Arabic" w:eastAsia="Times New Roman" w:hAnsi="Simplified Arabic" w:cs="Simplified Arabic"/>
          <w:b/>
          <w:bCs/>
          <w:sz w:val="24"/>
          <w:szCs w:val="24"/>
          <w:rtl/>
          <w:lang w:bidi="ar-SY"/>
        </w:rPr>
        <w:t>قَداسة البـَابا</w:t>
      </w:r>
    </w:p>
    <w:p w:rsidR="000C41AE" w:rsidRPr="00E8444D" w:rsidRDefault="000C41AE" w:rsidP="00CC3DF9">
      <w:pPr>
        <w:bidi/>
        <w:spacing w:after="0" w:line="240" w:lineRule="auto"/>
        <w:ind w:left="180" w:right="90"/>
        <w:jc w:val="center"/>
        <w:rPr>
          <w:rFonts w:ascii="Simplified Arabic" w:eastAsia="Times New Roman" w:hAnsi="Simplified Arabic" w:cs="Simplified Arabic"/>
          <w:sz w:val="24"/>
          <w:szCs w:val="24"/>
          <w:rtl/>
        </w:rPr>
      </w:pPr>
      <w:r w:rsidRPr="00E8444D">
        <w:rPr>
          <w:rFonts w:ascii="Simplified Arabic" w:eastAsia="Times New Roman" w:hAnsi="Simplified Arabic" w:cs="Simplified Arabic"/>
          <w:b/>
          <w:bCs/>
          <w:sz w:val="24"/>
          <w:szCs w:val="24"/>
          <w:rtl/>
          <w:lang w:bidi="ar-SY"/>
        </w:rPr>
        <w:t>يوحنـَّا بولس الثّاني</w:t>
      </w:r>
    </w:p>
    <w:p w:rsidR="000C41AE" w:rsidRPr="00E8444D" w:rsidRDefault="000C41AE" w:rsidP="00CC3DF9">
      <w:pPr>
        <w:bidi/>
        <w:spacing w:after="0" w:line="240" w:lineRule="auto"/>
        <w:ind w:left="180" w:right="90"/>
        <w:jc w:val="center"/>
        <w:rPr>
          <w:rFonts w:ascii="Simplified Arabic" w:eastAsia="Times New Roman" w:hAnsi="Simplified Arabic" w:cs="Simplified Arabic"/>
          <w:sz w:val="24"/>
          <w:szCs w:val="24"/>
          <w:rtl/>
        </w:rPr>
      </w:pPr>
      <w:r w:rsidRPr="00E8444D">
        <w:rPr>
          <w:rFonts w:ascii="Simplified Arabic" w:eastAsia="Times New Roman" w:hAnsi="Simplified Arabic" w:cs="Simplified Arabic"/>
          <w:b/>
          <w:bCs/>
          <w:sz w:val="24"/>
          <w:szCs w:val="24"/>
          <w:rtl/>
          <w:lang w:bidi="ar-SY"/>
        </w:rPr>
        <w:t>إلى البَطاركة والأساقفة</w:t>
      </w:r>
      <w:r w:rsidR="00CC3DF9">
        <w:rPr>
          <w:rFonts w:ascii="Simplified Arabic" w:eastAsia="Times New Roman" w:hAnsi="Simplified Arabic" w:cs="Simplified Arabic"/>
          <w:b/>
          <w:bCs/>
          <w:sz w:val="24"/>
          <w:szCs w:val="24"/>
          <w:lang w:bidi="ar-SY"/>
        </w:rPr>
        <w:t xml:space="preserve"> </w:t>
      </w:r>
      <w:r w:rsidRPr="00E8444D">
        <w:rPr>
          <w:rFonts w:ascii="Simplified Arabic" w:eastAsia="Times New Roman" w:hAnsi="Simplified Arabic" w:cs="Simplified Arabic"/>
          <w:b/>
          <w:bCs/>
          <w:sz w:val="24"/>
          <w:szCs w:val="24"/>
          <w:rtl/>
          <w:lang w:bidi="ar-SY"/>
        </w:rPr>
        <w:t>والإكليروس</w:t>
      </w:r>
      <w:r w:rsidR="00CC3DF9">
        <w:rPr>
          <w:rFonts w:ascii="Simplified Arabic" w:eastAsia="Times New Roman" w:hAnsi="Simplified Arabic" w:cs="Simplified Arabic"/>
          <w:b/>
          <w:bCs/>
          <w:sz w:val="24"/>
          <w:szCs w:val="24"/>
          <w:lang w:bidi="ar-SY"/>
        </w:rPr>
        <w:t xml:space="preserve"> </w:t>
      </w:r>
      <w:r w:rsidRPr="00E8444D">
        <w:rPr>
          <w:rFonts w:ascii="Simplified Arabic" w:eastAsia="Times New Roman" w:hAnsi="Simplified Arabic" w:cs="Simplified Arabic"/>
          <w:b/>
          <w:bCs/>
          <w:sz w:val="24"/>
          <w:szCs w:val="24"/>
          <w:rtl/>
          <w:lang w:bidi="ar-SY"/>
        </w:rPr>
        <w:t>والرُّهبان والرَّاهبات</w:t>
      </w:r>
      <w:r w:rsidR="00CC3DF9">
        <w:rPr>
          <w:rFonts w:ascii="Simplified Arabic" w:eastAsia="Times New Roman" w:hAnsi="Simplified Arabic" w:cs="Simplified Arabic"/>
          <w:b/>
          <w:bCs/>
          <w:sz w:val="24"/>
          <w:szCs w:val="24"/>
          <w:lang w:bidi="ar-SY"/>
        </w:rPr>
        <w:t xml:space="preserve"> </w:t>
      </w:r>
      <w:r w:rsidRPr="00E8444D">
        <w:rPr>
          <w:rFonts w:ascii="Simplified Arabic" w:eastAsia="Times New Roman" w:hAnsi="Simplified Arabic" w:cs="Simplified Arabic"/>
          <w:b/>
          <w:bCs/>
          <w:sz w:val="24"/>
          <w:szCs w:val="24"/>
          <w:rtl/>
          <w:lang w:bidi="ar-SY"/>
        </w:rPr>
        <w:t>وجميع المؤمنين</w:t>
      </w:r>
    </w:p>
    <w:p w:rsidR="000C41AE" w:rsidRDefault="000C41AE" w:rsidP="00CC3DF9">
      <w:pPr>
        <w:bidi/>
        <w:spacing w:after="0" w:line="240" w:lineRule="auto"/>
        <w:ind w:left="180" w:right="90"/>
        <w:jc w:val="center"/>
        <w:rPr>
          <w:rFonts w:ascii="Simplified Arabic" w:eastAsia="Times New Roman" w:hAnsi="Simplified Arabic" w:cs="Simplified Arabic"/>
          <w:b/>
          <w:bCs/>
          <w:sz w:val="24"/>
          <w:szCs w:val="24"/>
          <w:lang w:bidi="ar-SY"/>
        </w:rPr>
      </w:pPr>
      <w:r w:rsidRPr="00E8444D">
        <w:rPr>
          <w:rFonts w:ascii="Simplified Arabic" w:eastAsia="Times New Roman" w:hAnsi="Simplified Arabic" w:cs="Simplified Arabic"/>
          <w:b/>
          <w:bCs/>
          <w:sz w:val="24"/>
          <w:szCs w:val="24"/>
          <w:rtl/>
          <w:lang w:bidi="ar-SY"/>
        </w:rPr>
        <w:t>في لبنان</w:t>
      </w:r>
    </w:p>
    <w:p w:rsidR="00AE61B3" w:rsidRPr="00E8444D" w:rsidRDefault="00AE61B3" w:rsidP="00AE61B3">
      <w:pPr>
        <w:bidi/>
        <w:spacing w:after="0" w:line="240" w:lineRule="auto"/>
        <w:ind w:left="180" w:right="90"/>
        <w:jc w:val="center"/>
        <w:rPr>
          <w:rFonts w:ascii="Simplified Arabic" w:eastAsia="Times New Roman" w:hAnsi="Simplified Arabic" w:cs="Simplified Arabic" w:hint="cs"/>
          <w:sz w:val="24"/>
          <w:szCs w:val="24"/>
          <w:rtl/>
          <w:lang w:bidi="ar-LB"/>
        </w:rPr>
      </w:pPr>
      <w:r>
        <w:rPr>
          <w:rFonts w:ascii="Simplified Arabic" w:eastAsia="Times New Roman" w:hAnsi="Simplified Arabic" w:cs="Simplified Arabic" w:hint="cs"/>
          <w:b/>
          <w:bCs/>
          <w:sz w:val="24"/>
          <w:szCs w:val="24"/>
          <w:rtl/>
          <w:lang w:bidi="ar-LB"/>
        </w:rPr>
        <w:t>10 أيار 1997</w:t>
      </w:r>
    </w:p>
    <w:p w:rsidR="000C41AE" w:rsidRPr="00E8444D" w:rsidRDefault="000C41AE" w:rsidP="00E8444D">
      <w:pPr>
        <w:bidi/>
        <w:ind w:left="180" w:right="90"/>
        <w:rPr>
          <w:rFonts w:ascii="Simplified Arabic" w:hAnsi="Simplified Arabic" w:cs="Simplified Arabic"/>
          <w:sz w:val="24"/>
          <w:szCs w:val="24"/>
          <w:rtl/>
        </w:rPr>
      </w:pPr>
    </w:p>
    <w:p w:rsidR="000C41AE" w:rsidRPr="00E8444D" w:rsidRDefault="000C41AE" w:rsidP="00E8444D">
      <w:pPr>
        <w:bidi/>
        <w:spacing w:after="0" w:line="240" w:lineRule="auto"/>
        <w:ind w:left="180" w:right="90"/>
        <w:rPr>
          <w:rFonts w:ascii="Simplified Arabic" w:eastAsia="Times New Roman" w:hAnsi="Simplified Arabic" w:cs="Simplified Arabic"/>
          <w:sz w:val="24"/>
          <w:szCs w:val="24"/>
        </w:rPr>
      </w:pPr>
      <w:r w:rsidRPr="00E8444D">
        <w:rPr>
          <w:rFonts w:ascii="Simplified Arabic" w:eastAsia="Times New Roman" w:hAnsi="Simplified Arabic" w:cs="Simplified Arabic"/>
          <w:b/>
          <w:bCs/>
          <w:sz w:val="24"/>
          <w:szCs w:val="24"/>
          <w:rtl/>
          <w:lang w:bidi="ar-SY"/>
        </w:rPr>
        <w:t xml:space="preserve">الأسرة </w:t>
      </w:r>
    </w:p>
    <w:p w:rsidR="000C41AE" w:rsidRPr="00E8444D" w:rsidRDefault="000C41AE" w:rsidP="00E8444D">
      <w:pPr>
        <w:bidi/>
        <w:spacing w:after="0" w:line="240" w:lineRule="auto"/>
        <w:ind w:left="180" w:right="90"/>
        <w:rPr>
          <w:rFonts w:ascii="Simplified Arabic" w:eastAsia="Times New Roman" w:hAnsi="Simplified Arabic" w:cs="Simplified Arabic"/>
          <w:sz w:val="24"/>
          <w:szCs w:val="24"/>
          <w:rtl/>
        </w:rPr>
      </w:pPr>
      <w:bookmarkStart w:id="0" w:name="46"/>
      <w:r w:rsidRPr="00E8444D">
        <w:rPr>
          <w:rFonts w:ascii="Simplified Arabic" w:eastAsia="Times New Roman" w:hAnsi="Simplified Arabic" w:cs="Simplified Arabic"/>
          <w:b/>
          <w:bCs/>
          <w:sz w:val="24"/>
          <w:szCs w:val="24"/>
          <w:rtl/>
          <w:lang w:bidi="ar-SY"/>
        </w:rPr>
        <w:t>46</w:t>
      </w:r>
      <w:bookmarkEnd w:id="0"/>
      <w:r w:rsidRPr="00E8444D">
        <w:rPr>
          <w:rFonts w:ascii="Simplified Arabic" w:eastAsia="Times New Roman" w:hAnsi="Simplified Arabic" w:cs="Simplified Arabic"/>
          <w:b/>
          <w:bCs/>
          <w:sz w:val="24"/>
          <w:szCs w:val="24"/>
          <w:rtl/>
          <w:lang w:bidi="ar-SY"/>
        </w:rPr>
        <w:t>-</w:t>
      </w:r>
      <w:r w:rsidRPr="00E8444D">
        <w:rPr>
          <w:rFonts w:ascii="Simplified Arabic" w:eastAsia="Times New Roman" w:hAnsi="Simplified Arabic" w:cs="Simplified Arabic"/>
          <w:sz w:val="24"/>
          <w:szCs w:val="24"/>
          <w:rtl/>
          <w:lang w:bidi="ar-SY"/>
        </w:rPr>
        <w:t xml:space="preserve"> لقد عدّد النداء السينودسي بوضوح الأخطار المحدقة بالأسرة اللبنانية: "وذلك في حياة عائلية تتفكّك من جرّاء هجرة الأب أو الأبناء سعياً وراء عمل أو تحصيل مهارة إضافية، أو حياة عائلية تتفسّح من جرّاء صعوبات مادية متفاقمة، أو حياة عائلية تتآكل من جراء مفهوم خاطئ لاستقلال الأزواج فيما بينهم أو من جرّاء عقليّة معادية للإنجاب"</w:t>
      </w:r>
      <w:r w:rsidR="00B0222A" w:rsidRPr="00E8444D">
        <w:rPr>
          <w:rStyle w:val="FootnoteReference"/>
          <w:rFonts w:ascii="Simplified Arabic" w:eastAsia="Times New Roman" w:hAnsi="Simplified Arabic" w:cs="Simplified Arabic"/>
          <w:sz w:val="24"/>
          <w:szCs w:val="24"/>
          <w:rtl/>
          <w:lang w:bidi="ar-SY"/>
        </w:rPr>
        <w:footnoteReference w:id="2"/>
      </w:r>
      <w:r w:rsidRPr="00E8444D">
        <w:rPr>
          <w:rFonts w:ascii="Simplified Arabic" w:eastAsia="Times New Roman" w:hAnsi="Simplified Arabic" w:cs="Simplified Arabic"/>
          <w:sz w:val="24"/>
          <w:szCs w:val="24"/>
          <w:rtl/>
          <w:lang w:bidi="ar-SY"/>
        </w:rPr>
        <w:t xml:space="preserve">  في مواجهة هذه الأخطار، لابدّ من دعم روحيّ وأدبيّ ومادي للمقبلين على الزواج وللعائلات، وتلك مهمّة من أشد الأمور إلحاحاً.</w:t>
      </w:r>
    </w:p>
    <w:p w:rsidR="000C41AE" w:rsidRPr="00E8444D" w:rsidRDefault="000C41AE" w:rsidP="00E8444D">
      <w:pPr>
        <w:bidi/>
        <w:spacing w:after="0" w:line="240" w:lineRule="auto"/>
        <w:ind w:left="180" w:right="90"/>
        <w:rPr>
          <w:rFonts w:ascii="Simplified Arabic" w:eastAsia="Times New Roman" w:hAnsi="Simplified Arabic" w:cs="Simplified Arabic"/>
          <w:sz w:val="24"/>
          <w:szCs w:val="24"/>
          <w:rtl/>
        </w:rPr>
      </w:pPr>
      <w:r w:rsidRPr="00E8444D">
        <w:rPr>
          <w:rFonts w:ascii="Simplified Arabic" w:eastAsia="Times New Roman" w:hAnsi="Simplified Arabic" w:cs="Simplified Arabic"/>
          <w:sz w:val="24"/>
          <w:szCs w:val="24"/>
          <w:rtl/>
          <w:lang w:bidi="ar-SY"/>
        </w:rPr>
        <w:t>إنه انطلاقاً من الأسرة، أولاً، يُحاك النسيج الاجتماعي، وتتحقّق تربية الشبيبة، المسؤولة غداً عن الأمّضة، وينتقل الإيمان المسيحي من جيل إلى جيل. إنَّ الكنيسة تثق بالعائلات، وتعوّل على الأهل، وبخاصة في آفاق الألف الثالث، لكي يحظى الشباب بمعرفة المسيح، واتّباعه اتباعاً سخياً، سواء في حالة الزواج أم في الكهنوت أم في الحياة المكرّسة. "الكهنوت العمادي الذي ينعم به المؤمنون، إذا عاشه الإنسان في الزواج – السرّ، يكوّن للأزواج وللأسرة مرتكزاً لدعوةٍ ولرسالةٍ كهنوتيّتين"</w:t>
      </w:r>
      <w:r w:rsidR="00B0222A" w:rsidRPr="00E8444D">
        <w:rPr>
          <w:rStyle w:val="FootnoteReference"/>
          <w:rFonts w:ascii="Simplified Arabic" w:eastAsia="Times New Roman" w:hAnsi="Simplified Arabic" w:cs="Simplified Arabic"/>
          <w:sz w:val="24"/>
          <w:szCs w:val="24"/>
          <w:rtl/>
          <w:lang w:bidi="ar-SY"/>
        </w:rPr>
        <w:footnoteReference w:id="3"/>
      </w:r>
      <w:hyperlink r:id="rId7" w:anchor="111)" w:history="1">
        <w:r w:rsidRPr="00E8444D">
          <w:rPr>
            <w:rFonts w:ascii="Simplified Arabic" w:eastAsia="Times New Roman" w:hAnsi="Simplified Arabic" w:cs="Simplified Arabic"/>
            <w:sz w:val="24"/>
            <w:szCs w:val="24"/>
            <w:rtl/>
            <w:lang w:bidi="ar-SY"/>
          </w:rPr>
          <w:t>.</w:t>
        </w:r>
      </w:hyperlink>
      <w:r w:rsidRPr="00E8444D">
        <w:rPr>
          <w:rFonts w:ascii="Simplified Arabic" w:eastAsia="Times New Roman" w:hAnsi="Simplified Arabic" w:cs="Simplified Arabic"/>
          <w:sz w:val="24"/>
          <w:szCs w:val="24"/>
          <w:rtl/>
          <w:lang w:bidi="ar-SY"/>
        </w:rPr>
        <w:t xml:space="preserve"> في الأُسر حيوية روحية غنية. وهي في طليعة المواقع التي تنضج فيها الدعوات. ويشهد الأهل، بنَمط حياتهم، لجمال الحياة الزوجية وبذل الذات. وما يؤدّيه الأزواج من قدوة يومية يغذّي لدى الشباب الرغبة في الاقتداء بهم. الأسرة هي "الكنيسة الصغرى" وهي مدرسة الحب</w:t>
      </w:r>
      <w:r w:rsidR="00B0222A" w:rsidRPr="00E8444D">
        <w:rPr>
          <w:rStyle w:val="FootnoteReference"/>
          <w:rFonts w:ascii="Simplified Arabic" w:eastAsia="Times New Roman" w:hAnsi="Simplified Arabic" w:cs="Simplified Arabic"/>
          <w:sz w:val="24"/>
          <w:szCs w:val="24"/>
          <w:rtl/>
          <w:lang w:bidi="ar-SY"/>
        </w:rPr>
        <w:footnoteReference w:id="4"/>
      </w:r>
      <w:r w:rsidRPr="00E8444D">
        <w:rPr>
          <w:rFonts w:ascii="Simplified Arabic" w:eastAsia="Times New Roman" w:hAnsi="Simplified Arabic" w:cs="Simplified Arabic"/>
          <w:sz w:val="24"/>
          <w:szCs w:val="24"/>
          <w:rtl/>
          <w:lang w:bidi="ar-SY"/>
        </w:rPr>
        <w:t>، والموقع الأول للشهادة المسيحيّة والرسولية، بالمثل كما بالكلام. إن سرّ الحب الذي يربط الرجل والمرأة يعكس الوحدة القائمة بين المسيح وكنيسته (را: أف 5 : 32). وفي الأسرة يتربّى الأولاد، منذ الصغر، على حضور الله والثقة بحنوّه الأبوي. إلا أن أبسط قواعد التربية وأجداها أن يقدّم البالغون قدوةً الصلاة المسيحية والتأمل بكلام الله. ولذا، جلُّ ما تمنّاه المشاركون في السينودس من هذا القبيل، هو تعزيز العمل الراعوي في سبيل العائلة، كي تُصان هذه المؤسّسة البالغة الأهمية وتلقى العون والسند.</w:t>
      </w:r>
    </w:p>
    <w:p w:rsidR="000C41AE" w:rsidRPr="00E8444D" w:rsidRDefault="000C41AE" w:rsidP="00E8444D">
      <w:pPr>
        <w:bidi/>
        <w:spacing w:after="0" w:line="240" w:lineRule="auto"/>
        <w:ind w:left="180" w:right="90"/>
        <w:rPr>
          <w:rFonts w:ascii="Simplified Arabic" w:eastAsia="Times New Roman" w:hAnsi="Simplified Arabic" w:cs="Simplified Arabic"/>
          <w:sz w:val="24"/>
          <w:szCs w:val="24"/>
          <w:rtl/>
        </w:rPr>
      </w:pPr>
      <w:bookmarkStart w:id="1" w:name="47"/>
      <w:r w:rsidRPr="00E8444D">
        <w:rPr>
          <w:rFonts w:ascii="Simplified Arabic" w:eastAsia="Times New Roman" w:hAnsi="Simplified Arabic" w:cs="Simplified Arabic"/>
          <w:b/>
          <w:bCs/>
          <w:sz w:val="24"/>
          <w:szCs w:val="24"/>
          <w:rtl/>
          <w:lang w:bidi="ar-SY"/>
        </w:rPr>
        <w:t>47</w:t>
      </w:r>
      <w:bookmarkEnd w:id="1"/>
      <w:r w:rsidRPr="00E8444D">
        <w:rPr>
          <w:rFonts w:ascii="Simplified Arabic" w:eastAsia="Times New Roman" w:hAnsi="Simplified Arabic" w:cs="Simplified Arabic"/>
          <w:b/>
          <w:bCs/>
          <w:sz w:val="24"/>
          <w:szCs w:val="24"/>
          <w:rtl/>
          <w:lang w:bidi="ar-SY"/>
        </w:rPr>
        <w:t>-</w:t>
      </w:r>
      <w:r w:rsidRPr="00E8444D">
        <w:rPr>
          <w:rFonts w:ascii="Simplified Arabic" w:eastAsia="Times New Roman" w:hAnsi="Simplified Arabic" w:cs="Simplified Arabic"/>
          <w:sz w:val="24"/>
          <w:szCs w:val="24"/>
          <w:rtl/>
          <w:lang w:bidi="ar-SY"/>
        </w:rPr>
        <w:t xml:space="preserve"> بهذه الروح، يصبح الإعداد للزواج غاية في الأهميّة. لابدّ إذن للخطّاب من أن يعوّلوا على الكنيسة المحليّة للاضطلاع بمسؤولياتهم المستقبلية. ومن ثمَّ يجب أن يكون في كل رعية أزواج مُختبرون، يُساعدون الشباب، بالتنسيق مع الإكليروس، على التأهّب للزواج. إنّ أشخاصاً متزوجيّن يمكنهم أن يصبحوا مرشدين صالحين للذين يستعدّون للزواج، والذين يواجهون صعوبات يمكنهم أن يجدوا ما يحتاجون إليه من أذن مُصغية ودعم أخويّ. وفي سبيل إنعاش مراكز الإعداد </w:t>
      </w:r>
      <w:r w:rsidRPr="00E8444D">
        <w:rPr>
          <w:rFonts w:ascii="Simplified Arabic" w:eastAsia="Times New Roman" w:hAnsi="Simplified Arabic" w:cs="Simplified Arabic"/>
          <w:sz w:val="24"/>
          <w:szCs w:val="24"/>
          <w:rtl/>
          <w:lang w:bidi="ar-SY"/>
        </w:rPr>
        <w:lastRenderedPageBreak/>
        <w:t>للزواج والإرشاد، نتمنَّى أن يُنشأ معهد للدراسات الزواجية والعيلية، لتنشئة كهنة وأشخاص مؤهَّلين. هذا المعهد بإمكانه أن يُوفر أيضاً معلوماتٍ لفائدة مختلف المراكز، وينشر تعاليم الكنيسة التي قدّمت، في هذه السنين الأخيرة، نصوصاً كثيرة يتدارسها المسيحيّون</w:t>
      </w:r>
      <w:r w:rsidR="00B0222A" w:rsidRPr="00E8444D">
        <w:rPr>
          <w:rStyle w:val="FootnoteReference"/>
          <w:rFonts w:ascii="Simplified Arabic" w:eastAsia="Times New Roman" w:hAnsi="Simplified Arabic" w:cs="Simplified Arabic"/>
          <w:sz w:val="24"/>
          <w:szCs w:val="24"/>
          <w:rtl/>
          <w:lang w:bidi="ar-SY"/>
        </w:rPr>
        <w:footnoteReference w:id="5"/>
      </w:r>
      <w:hyperlink r:id="rId8" w:anchor="113)" w:history="1">
        <w:r w:rsidRPr="00E8444D">
          <w:rPr>
            <w:rFonts w:ascii="Simplified Arabic" w:eastAsia="Times New Roman" w:hAnsi="Simplified Arabic" w:cs="Simplified Arabic"/>
            <w:sz w:val="24"/>
            <w:szCs w:val="24"/>
            <w:rtl/>
            <w:lang w:bidi="ar-SY"/>
          </w:rPr>
          <w:t>.</w:t>
        </w:r>
      </w:hyperlink>
    </w:p>
    <w:p w:rsidR="000C41AE" w:rsidRPr="00E8444D" w:rsidRDefault="000C41AE" w:rsidP="00E8444D">
      <w:pPr>
        <w:bidi/>
        <w:spacing w:after="0" w:line="240" w:lineRule="auto"/>
        <w:ind w:left="180" w:right="90"/>
        <w:rPr>
          <w:rFonts w:ascii="Simplified Arabic" w:eastAsia="Times New Roman" w:hAnsi="Simplified Arabic" w:cs="Simplified Arabic"/>
          <w:sz w:val="24"/>
          <w:szCs w:val="24"/>
          <w:rtl/>
          <w:lang w:bidi="ar-SY"/>
        </w:rPr>
      </w:pPr>
      <w:r w:rsidRPr="00E8444D">
        <w:rPr>
          <w:rFonts w:ascii="Simplified Arabic" w:eastAsia="Times New Roman" w:hAnsi="Simplified Arabic" w:cs="Simplified Arabic"/>
          <w:sz w:val="24"/>
          <w:szCs w:val="24"/>
          <w:rtl/>
          <w:lang w:bidi="ar-SY"/>
        </w:rPr>
        <w:t>إنه لحسن أن تُنشأ شبكةٌ من الأزواج المؤهَّلين لمرافقة الذين يواجهون صعاباً، ومساعدتهم على أن يُبدلوا نظرتهم للمعضلات التي تعترضهم، وإعادة حوار هادئ بينهم</w:t>
      </w:r>
      <w:r w:rsidR="00B0222A" w:rsidRPr="00E8444D">
        <w:rPr>
          <w:rStyle w:val="FootnoteReference"/>
          <w:rFonts w:ascii="Simplified Arabic" w:eastAsia="Times New Roman" w:hAnsi="Simplified Arabic" w:cs="Simplified Arabic"/>
          <w:sz w:val="24"/>
          <w:szCs w:val="24"/>
          <w:rtl/>
          <w:lang w:bidi="ar-SY"/>
        </w:rPr>
        <w:footnoteReference w:id="6"/>
      </w:r>
      <w:r w:rsidRPr="00E8444D">
        <w:rPr>
          <w:rFonts w:ascii="Simplified Arabic" w:eastAsia="Times New Roman" w:hAnsi="Simplified Arabic" w:cs="Simplified Arabic"/>
          <w:sz w:val="24"/>
          <w:szCs w:val="24"/>
          <w:rtl/>
          <w:lang w:bidi="ar-SY"/>
        </w:rPr>
        <w:t xml:space="preserve"> هكذا يغدو من الممكن الوصول إلى تحقيق المصالحة بين الأزواج (المتخاصمين) قبل التسرّع في اللجوء إلى الحلول القضائية</w:t>
      </w:r>
      <w:r w:rsidR="00B0222A" w:rsidRPr="00E8444D">
        <w:rPr>
          <w:rStyle w:val="FootnoteReference"/>
          <w:rFonts w:ascii="Simplified Arabic" w:eastAsia="Times New Roman" w:hAnsi="Simplified Arabic" w:cs="Simplified Arabic"/>
          <w:sz w:val="24"/>
          <w:szCs w:val="24"/>
          <w:rtl/>
          <w:lang w:bidi="ar-SY"/>
        </w:rPr>
        <w:footnoteReference w:id="7"/>
      </w:r>
      <w:r w:rsidR="00B0222A" w:rsidRPr="00E8444D">
        <w:rPr>
          <w:rFonts w:ascii="Simplified Arabic" w:eastAsia="Times New Roman" w:hAnsi="Simplified Arabic" w:cs="Simplified Arabic"/>
          <w:sz w:val="24"/>
          <w:szCs w:val="24"/>
          <w:rtl/>
          <w:lang w:bidi="ar-SY"/>
        </w:rPr>
        <w:t>.</w:t>
      </w:r>
    </w:p>
    <w:p w:rsidR="00B0222A" w:rsidRPr="00E8444D" w:rsidRDefault="00B0222A" w:rsidP="00E8444D">
      <w:pPr>
        <w:bidi/>
        <w:spacing w:after="0" w:line="240" w:lineRule="auto"/>
        <w:ind w:left="180" w:right="90"/>
        <w:rPr>
          <w:rFonts w:ascii="Simplified Arabic" w:eastAsia="Times New Roman" w:hAnsi="Simplified Arabic" w:cs="Simplified Arabic"/>
          <w:sz w:val="24"/>
          <w:szCs w:val="24"/>
          <w:rtl/>
        </w:rPr>
      </w:pPr>
    </w:p>
    <w:p w:rsidR="00B0222A" w:rsidRPr="00E8444D" w:rsidRDefault="000C41AE" w:rsidP="00E8444D">
      <w:pPr>
        <w:bidi/>
        <w:spacing w:after="0" w:line="240" w:lineRule="auto"/>
        <w:ind w:left="180" w:right="90"/>
        <w:rPr>
          <w:rFonts w:ascii="Simplified Arabic" w:eastAsia="Times New Roman" w:hAnsi="Simplified Arabic" w:cs="Simplified Arabic"/>
          <w:sz w:val="24"/>
          <w:szCs w:val="24"/>
          <w:rtl/>
          <w:lang w:bidi="ar-SY"/>
        </w:rPr>
      </w:pPr>
      <w:bookmarkStart w:id="2" w:name="48"/>
      <w:r w:rsidRPr="00E8444D">
        <w:rPr>
          <w:rFonts w:ascii="Simplified Arabic" w:eastAsia="Times New Roman" w:hAnsi="Simplified Arabic" w:cs="Simplified Arabic"/>
          <w:b/>
          <w:bCs/>
          <w:sz w:val="24"/>
          <w:szCs w:val="24"/>
          <w:rtl/>
          <w:lang w:bidi="ar-SY"/>
        </w:rPr>
        <w:t>48</w:t>
      </w:r>
      <w:bookmarkEnd w:id="2"/>
      <w:r w:rsidRPr="00E8444D">
        <w:rPr>
          <w:rFonts w:ascii="Simplified Arabic" w:eastAsia="Times New Roman" w:hAnsi="Simplified Arabic" w:cs="Simplified Arabic"/>
          <w:b/>
          <w:bCs/>
          <w:sz w:val="24"/>
          <w:szCs w:val="24"/>
          <w:rtl/>
          <w:lang w:bidi="ar-SY"/>
        </w:rPr>
        <w:t>-</w:t>
      </w:r>
      <w:r w:rsidRPr="00E8444D">
        <w:rPr>
          <w:rFonts w:ascii="Simplified Arabic" w:eastAsia="Times New Roman" w:hAnsi="Simplified Arabic" w:cs="Simplified Arabic"/>
          <w:sz w:val="24"/>
          <w:szCs w:val="24"/>
          <w:rtl/>
          <w:lang w:bidi="ar-SY"/>
        </w:rPr>
        <w:t xml:space="preserve"> لمواجهة المعضلات المتفاقمة بين الأزواج، من المستحسن أن تتعاون المحاكم الكنسية مع مراكز المساعدة (العائلية) لبذل كل الجهد لمصالحة الأزواج</w:t>
      </w:r>
      <w:r w:rsidR="00B0222A" w:rsidRPr="00E8444D">
        <w:rPr>
          <w:rStyle w:val="FootnoteReference"/>
          <w:rFonts w:ascii="Simplified Arabic" w:eastAsia="Times New Roman" w:hAnsi="Simplified Arabic" w:cs="Simplified Arabic"/>
          <w:sz w:val="24"/>
          <w:szCs w:val="24"/>
          <w:rtl/>
          <w:lang w:bidi="ar-SY"/>
        </w:rPr>
        <w:footnoteReference w:id="8"/>
      </w:r>
      <w:r w:rsidRPr="00E8444D">
        <w:rPr>
          <w:rFonts w:ascii="Simplified Arabic" w:eastAsia="Times New Roman" w:hAnsi="Simplified Arabic" w:cs="Simplified Arabic"/>
          <w:sz w:val="24"/>
          <w:szCs w:val="24"/>
          <w:rtl/>
          <w:lang w:bidi="ar-SY"/>
        </w:rPr>
        <w:t>. بما أن كل كنيسة بطريركية لها محاكمها الخاصة، فلا بدّ من إقامة تعاون وثيق بينها، توفيراً لعدالة واحدة للجميع، عبر تنوّع السلطات القضائية، ومنعاً من أن يتلاعب المتحاكمون بمجرى العدالة، واستغلال الفروقات بين السلطات القضائية. وهذا يفترض لدى القضاة روحاً رعائية ونزاهة كاملة تضمنهما السلطة الكنسيّة بسهرها المستمرّ</w:t>
      </w:r>
      <w:r w:rsidR="00B0222A" w:rsidRPr="00E8444D">
        <w:rPr>
          <w:rStyle w:val="FootnoteReference"/>
          <w:rFonts w:ascii="Simplified Arabic" w:eastAsia="Times New Roman" w:hAnsi="Simplified Arabic" w:cs="Simplified Arabic"/>
          <w:sz w:val="24"/>
          <w:szCs w:val="24"/>
          <w:rtl/>
          <w:lang w:bidi="ar-SY"/>
        </w:rPr>
        <w:footnoteReference w:id="9"/>
      </w:r>
      <w:hyperlink r:id="rId9" w:anchor="117)" w:history="1">
        <w:r w:rsidRPr="00E8444D">
          <w:rPr>
            <w:rFonts w:ascii="Simplified Arabic" w:eastAsia="Times New Roman" w:hAnsi="Simplified Arabic" w:cs="Simplified Arabic"/>
            <w:sz w:val="24"/>
            <w:szCs w:val="24"/>
            <w:rtl/>
            <w:lang w:bidi="ar-SY"/>
          </w:rPr>
          <w:t>.</w:t>
        </w:r>
      </w:hyperlink>
      <w:r w:rsidRPr="00E8444D">
        <w:rPr>
          <w:rFonts w:ascii="Simplified Arabic" w:eastAsia="Times New Roman" w:hAnsi="Simplified Arabic" w:cs="Simplified Arabic"/>
          <w:sz w:val="24"/>
          <w:szCs w:val="24"/>
          <w:rtl/>
          <w:lang w:bidi="ar-SY"/>
        </w:rPr>
        <w:t xml:space="preserve"> ومن المناسب أيضاً أن يُضمن للمعوزين حقُّهم في الدفاع، وذلك بدعم المعونة القضائية بالإعفاء من الرسوم، ووضع بعض المحامين المتطوّعين في تصرّفهم</w:t>
      </w:r>
      <w:r w:rsidR="00B0222A" w:rsidRPr="00E8444D">
        <w:rPr>
          <w:rStyle w:val="FootnoteReference"/>
          <w:rFonts w:ascii="Simplified Arabic" w:eastAsia="Times New Roman" w:hAnsi="Simplified Arabic" w:cs="Simplified Arabic"/>
          <w:sz w:val="24"/>
          <w:szCs w:val="24"/>
          <w:rtl/>
          <w:lang w:bidi="ar-SY"/>
        </w:rPr>
        <w:footnoteReference w:id="10"/>
      </w:r>
      <w:r w:rsidR="00B0222A" w:rsidRPr="00E8444D">
        <w:rPr>
          <w:rFonts w:ascii="Simplified Arabic" w:eastAsia="Times New Roman" w:hAnsi="Simplified Arabic" w:cs="Simplified Arabic"/>
          <w:sz w:val="24"/>
          <w:szCs w:val="24"/>
          <w:rtl/>
          <w:lang w:bidi="ar-SY"/>
        </w:rPr>
        <w:t>.</w:t>
      </w:r>
    </w:p>
    <w:p w:rsidR="000C41AE" w:rsidRPr="00E8444D" w:rsidRDefault="00AA70B4" w:rsidP="00E8444D">
      <w:pPr>
        <w:bidi/>
        <w:spacing w:after="0" w:line="240" w:lineRule="auto"/>
        <w:ind w:left="180" w:right="90"/>
        <w:rPr>
          <w:rFonts w:ascii="Simplified Arabic" w:eastAsia="Times New Roman" w:hAnsi="Simplified Arabic" w:cs="Simplified Arabic"/>
          <w:sz w:val="24"/>
          <w:szCs w:val="24"/>
          <w:rtl/>
        </w:rPr>
      </w:pPr>
      <w:hyperlink r:id="rId10" w:anchor="118)" w:history="1"/>
    </w:p>
    <w:p w:rsidR="000C41AE" w:rsidRPr="00E8444D" w:rsidRDefault="000C41AE" w:rsidP="00E8444D">
      <w:pPr>
        <w:bidi/>
        <w:spacing w:after="0" w:line="240" w:lineRule="auto"/>
        <w:ind w:left="180" w:right="90"/>
        <w:rPr>
          <w:rFonts w:ascii="Simplified Arabic" w:eastAsia="Times New Roman" w:hAnsi="Simplified Arabic" w:cs="Simplified Arabic"/>
          <w:sz w:val="24"/>
          <w:szCs w:val="24"/>
          <w:rtl/>
        </w:rPr>
      </w:pPr>
      <w:bookmarkStart w:id="3" w:name="49"/>
      <w:r w:rsidRPr="00E8444D">
        <w:rPr>
          <w:rFonts w:ascii="Simplified Arabic" w:eastAsia="Times New Roman" w:hAnsi="Simplified Arabic" w:cs="Simplified Arabic"/>
          <w:b/>
          <w:bCs/>
          <w:sz w:val="24"/>
          <w:szCs w:val="24"/>
          <w:rtl/>
          <w:lang w:bidi="ar-SY"/>
        </w:rPr>
        <w:t>49</w:t>
      </w:r>
      <w:bookmarkEnd w:id="3"/>
      <w:r w:rsidRPr="00E8444D">
        <w:rPr>
          <w:rFonts w:ascii="Simplified Arabic" w:eastAsia="Times New Roman" w:hAnsi="Simplified Arabic" w:cs="Simplified Arabic"/>
          <w:b/>
          <w:bCs/>
          <w:sz w:val="24"/>
          <w:szCs w:val="24"/>
          <w:rtl/>
          <w:lang w:bidi="ar-SY"/>
        </w:rPr>
        <w:t>-</w:t>
      </w:r>
      <w:r w:rsidRPr="00E8444D">
        <w:rPr>
          <w:rFonts w:ascii="Simplified Arabic" w:eastAsia="Times New Roman" w:hAnsi="Simplified Arabic" w:cs="Simplified Arabic"/>
          <w:sz w:val="24"/>
          <w:szCs w:val="24"/>
          <w:rtl/>
          <w:lang w:bidi="ar-SY"/>
        </w:rPr>
        <w:t xml:space="preserve"> لابدّ أيضاً من مساعدة العائلات في المعضلات الاقتصادية التي تواجهها. إني في هذا المجال، أعبّر عن ثقتي بالمؤسّسات الكاثوليكية المحليّة لتكون سبّاقة إلى الابتكار، والتعاون في ما بينها وإقامة شبكات نجدة، بالتنسيق مع المؤسّسات الحكومية، المسؤولة عن تشجيع السياسة العائلية، وذلك بتوفير الحماية لكلّ فرد، وتعزيز تربية للشباب.</w:t>
      </w:r>
    </w:p>
    <w:p w:rsidR="000C41AE" w:rsidRPr="00E8444D" w:rsidRDefault="000C41AE" w:rsidP="00E8444D">
      <w:pPr>
        <w:bidi/>
        <w:spacing w:after="0" w:line="240" w:lineRule="auto"/>
        <w:ind w:left="180" w:right="90"/>
        <w:rPr>
          <w:rFonts w:ascii="Simplified Arabic" w:eastAsia="Times New Roman" w:hAnsi="Simplified Arabic" w:cs="Simplified Arabic"/>
          <w:sz w:val="24"/>
          <w:szCs w:val="24"/>
          <w:rtl/>
        </w:rPr>
      </w:pPr>
      <w:r w:rsidRPr="00E8444D">
        <w:rPr>
          <w:rFonts w:ascii="Simplified Arabic" w:eastAsia="Times New Roman" w:hAnsi="Simplified Arabic" w:cs="Simplified Arabic"/>
          <w:sz w:val="24"/>
          <w:szCs w:val="24"/>
          <w:rtl/>
        </w:rPr>
        <w:t> </w:t>
      </w:r>
    </w:p>
    <w:p w:rsidR="00B0222A" w:rsidRPr="00E8444D" w:rsidRDefault="00B0222A" w:rsidP="00E8444D">
      <w:pPr>
        <w:bidi/>
        <w:spacing w:after="0" w:line="240" w:lineRule="auto"/>
        <w:ind w:left="180" w:right="90"/>
        <w:rPr>
          <w:rFonts w:ascii="Simplified Arabic" w:eastAsia="Times New Roman" w:hAnsi="Simplified Arabic" w:cs="Simplified Arabic"/>
          <w:sz w:val="24"/>
          <w:szCs w:val="24"/>
        </w:rPr>
      </w:pPr>
      <w:r w:rsidRPr="00E8444D">
        <w:rPr>
          <w:rFonts w:ascii="Simplified Arabic" w:eastAsia="Times New Roman" w:hAnsi="Simplified Arabic" w:cs="Simplified Arabic"/>
          <w:b/>
          <w:bCs/>
          <w:sz w:val="24"/>
          <w:szCs w:val="24"/>
          <w:rtl/>
          <w:lang w:bidi="ar-SY"/>
        </w:rPr>
        <w:t>النساء</w:t>
      </w:r>
    </w:p>
    <w:p w:rsidR="00B0222A" w:rsidRPr="00E8444D" w:rsidRDefault="00B0222A" w:rsidP="00E8444D">
      <w:pPr>
        <w:bidi/>
        <w:spacing w:after="0" w:line="240" w:lineRule="auto"/>
        <w:ind w:left="180" w:right="90"/>
        <w:rPr>
          <w:rFonts w:ascii="Simplified Arabic" w:eastAsia="Times New Roman" w:hAnsi="Simplified Arabic" w:cs="Simplified Arabic"/>
          <w:sz w:val="24"/>
          <w:szCs w:val="24"/>
          <w:rtl/>
        </w:rPr>
      </w:pPr>
      <w:bookmarkStart w:id="4" w:name="50"/>
      <w:r w:rsidRPr="00E8444D">
        <w:rPr>
          <w:rFonts w:ascii="Simplified Arabic" w:eastAsia="Times New Roman" w:hAnsi="Simplified Arabic" w:cs="Simplified Arabic"/>
          <w:b/>
          <w:bCs/>
          <w:sz w:val="24"/>
          <w:szCs w:val="24"/>
          <w:rtl/>
          <w:lang w:bidi="ar-SY"/>
        </w:rPr>
        <w:t>50</w:t>
      </w:r>
      <w:bookmarkEnd w:id="4"/>
      <w:r w:rsidRPr="00E8444D">
        <w:rPr>
          <w:rFonts w:ascii="Simplified Arabic" w:eastAsia="Times New Roman" w:hAnsi="Simplified Arabic" w:cs="Simplified Arabic"/>
          <w:b/>
          <w:bCs/>
          <w:sz w:val="24"/>
          <w:szCs w:val="24"/>
          <w:rtl/>
          <w:lang w:bidi="ar-SY"/>
        </w:rPr>
        <w:t>-</w:t>
      </w:r>
      <w:r w:rsidRPr="00E8444D">
        <w:rPr>
          <w:rFonts w:ascii="Simplified Arabic" w:eastAsia="Times New Roman" w:hAnsi="Simplified Arabic" w:cs="Simplified Arabic"/>
          <w:sz w:val="24"/>
          <w:szCs w:val="24"/>
          <w:rtl/>
          <w:lang w:bidi="ar-SY"/>
        </w:rPr>
        <w:t xml:space="preserve"> تستحقّ النساء عناية خاصّة تكفل لهنَّ مراعاة حقوقهّن في مختلف قطاعات الحياة الاجتماعية والوطنيّة. ذلك أنَّ الكنيسة، في عقيدتها الانتروبولوجية وتعليمها، تؤكّد المساواة في الحقوق بين الرجل والمرأة، وهي مساواة أساسها أن كل كائن بشريّ هو مخلوق على صورة الله. "إن الكنيسة تفخر، كما هو معلوم، بأنها عظّمت المرأة وحرّرتها، وأبرزت بوضوح، عبر القرون، وفي مختلف المجالات، مساواتها بالرجل"</w:t>
      </w:r>
      <w:r w:rsidRPr="00E8444D">
        <w:rPr>
          <w:rStyle w:val="FootnoteReference"/>
          <w:rFonts w:ascii="Simplified Arabic" w:eastAsia="Times New Roman" w:hAnsi="Simplified Arabic" w:cs="Simplified Arabic"/>
          <w:sz w:val="24"/>
          <w:szCs w:val="24"/>
          <w:rtl/>
          <w:lang w:bidi="ar-SY"/>
        </w:rPr>
        <w:footnoteReference w:id="11"/>
      </w:r>
      <w:r w:rsidRPr="00E8444D">
        <w:rPr>
          <w:rFonts w:ascii="Simplified Arabic" w:eastAsia="Times New Roman" w:hAnsi="Simplified Arabic" w:cs="Simplified Arabic"/>
          <w:sz w:val="24"/>
          <w:szCs w:val="24"/>
          <w:rtl/>
          <w:lang w:bidi="ar-SY"/>
        </w:rPr>
        <w:t>. ومنذ عهد المسيح وسرّ التجسّد، وجد دور المرأة تعبيره الرائع في العذراء مريم، التي نوّهت التقاليد الشرقية مراراً بمكانتها الفريدة، وذلك بأنّها "هي التي بها أُعطينا شجرة الخلود"</w:t>
      </w:r>
      <w:r w:rsidR="007703BC" w:rsidRPr="00E8444D">
        <w:rPr>
          <w:rStyle w:val="FootnoteReference"/>
          <w:rFonts w:ascii="Simplified Arabic" w:eastAsia="Times New Roman" w:hAnsi="Simplified Arabic" w:cs="Simplified Arabic"/>
          <w:sz w:val="24"/>
          <w:szCs w:val="24"/>
          <w:rtl/>
          <w:lang w:bidi="ar-SY"/>
        </w:rPr>
        <w:footnoteReference w:id="12"/>
      </w:r>
      <w:r w:rsidRPr="00E8444D">
        <w:rPr>
          <w:rFonts w:ascii="Simplified Arabic" w:eastAsia="Times New Roman" w:hAnsi="Simplified Arabic" w:cs="Simplified Arabic"/>
          <w:sz w:val="24"/>
          <w:szCs w:val="24"/>
          <w:rtl/>
          <w:lang w:bidi="ar-SY"/>
        </w:rPr>
        <w:t xml:space="preserve">. فنحن، </w:t>
      </w:r>
      <w:r w:rsidRPr="00E8444D">
        <w:rPr>
          <w:rFonts w:ascii="Simplified Arabic" w:eastAsia="Times New Roman" w:hAnsi="Simplified Arabic" w:cs="Simplified Arabic"/>
          <w:sz w:val="24"/>
          <w:szCs w:val="24"/>
          <w:rtl/>
          <w:lang w:bidi="ar-SY"/>
        </w:rPr>
        <w:lastRenderedPageBreak/>
        <w:t xml:space="preserve">بكلّ حق وحقيقة، ندعو القديسة مريم والدة الإله، لأن هذا الاسم يحمل سرّ الخلاص كلّه </w:t>
      </w:r>
      <w:hyperlink r:id="rId11" w:anchor="121)" w:history="1">
        <w:r w:rsidR="007703BC" w:rsidRPr="00E8444D">
          <w:rPr>
            <w:rStyle w:val="FootnoteReference"/>
            <w:rFonts w:ascii="Simplified Arabic" w:eastAsia="Times New Roman" w:hAnsi="Simplified Arabic" w:cs="Simplified Arabic"/>
            <w:sz w:val="24"/>
            <w:szCs w:val="24"/>
            <w:rtl/>
            <w:lang w:bidi="ar-SY"/>
          </w:rPr>
          <w:footnoteReference w:id="13"/>
        </w:r>
        <w:r w:rsidRPr="00E8444D">
          <w:rPr>
            <w:rFonts w:ascii="Simplified Arabic" w:eastAsia="Times New Roman" w:hAnsi="Simplified Arabic" w:cs="Simplified Arabic"/>
            <w:sz w:val="24"/>
            <w:szCs w:val="24"/>
            <w:rtl/>
            <w:lang w:bidi="ar-SY"/>
          </w:rPr>
          <w:t>.</w:t>
        </w:r>
      </w:hyperlink>
      <w:r w:rsidRPr="00E8444D">
        <w:rPr>
          <w:rFonts w:ascii="Simplified Arabic" w:eastAsia="Times New Roman" w:hAnsi="Simplified Arabic" w:cs="Simplified Arabic"/>
          <w:sz w:val="24"/>
          <w:szCs w:val="24"/>
          <w:rtl/>
          <w:lang w:bidi="ar-SY"/>
        </w:rPr>
        <w:t xml:space="preserve"> "إن طاقة المرأة المعنويّة والروحيّة تتصل بشعورها بأن الله قد وكل إليها، بصفة نوعية، أمر الإنسان، الكائن البشري. صحيح أن الله يكل أمر كل إنسان إلى جميع الناس وإلى كل فرد منهم. إلاّ أن هذا يعني المرأة بصفة نوعية – وبالتحديد بسبب أنوثتها – وهذا يحدّد دعوتها"</w:t>
      </w:r>
      <w:r w:rsidR="007703BC" w:rsidRPr="00E8444D">
        <w:rPr>
          <w:rStyle w:val="FootnoteReference"/>
          <w:rFonts w:ascii="Simplified Arabic" w:eastAsia="Times New Roman" w:hAnsi="Simplified Arabic" w:cs="Simplified Arabic"/>
          <w:sz w:val="24"/>
          <w:szCs w:val="24"/>
          <w:rtl/>
          <w:lang w:bidi="ar-SY"/>
        </w:rPr>
        <w:footnoteReference w:id="14"/>
      </w:r>
      <w:hyperlink r:id="rId12" w:anchor="122)" w:history="1">
        <w:r w:rsidRPr="00E8444D">
          <w:rPr>
            <w:rFonts w:ascii="Simplified Arabic" w:eastAsia="Times New Roman" w:hAnsi="Simplified Arabic" w:cs="Simplified Arabic"/>
            <w:sz w:val="24"/>
            <w:szCs w:val="24"/>
            <w:rtl/>
            <w:lang w:bidi="ar-SY"/>
          </w:rPr>
          <w:t>.</w:t>
        </w:r>
      </w:hyperlink>
      <w:r w:rsidRPr="00E8444D">
        <w:rPr>
          <w:rFonts w:ascii="Simplified Arabic" w:eastAsia="Times New Roman" w:hAnsi="Simplified Arabic" w:cs="Simplified Arabic"/>
          <w:sz w:val="24"/>
          <w:szCs w:val="24"/>
          <w:rtl/>
          <w:lang w:bidi="ar-SY"/>
        </w:rPr>
        <w:t xml:space="preserve"> للنساء حسّ مرهف بما وُكل إليهنّ، وبمقدورهنّ أن يُظهرْنَ "عبقريتهنَّ" في مختلف ظروف الحياة البشرية.</w:t>
      </w:r>
    </w:p>
    <w:p w:rsidR="00B0222A" w:rsidRPr="00E8444D" w:rsidRDefault="00B0222A" w:rsidP="00E8444D">
      <w:pPr>
        <w:bidi/>
        <w:spacing w:after="0" w:line="240" w:lineRule="auto"/>
        <w:ind w:left="180" w:right="90"/>
        <w:rPr>
          <w:rFonts w:ascii="Simplified Arabic" w:eastAsia="Times New Roman" w:hAnsi="Simplified Arabic" w:cs="Simplified Arabic"/>
          <w:sz w:val="24"/>
          <w:szCs w:val="24"/>
          <w:rtl/>
        </w:rPr>
      </w:pPr>
      <w:r w:rsidRPr="00E8444D">
        <w:rPr>
          <w:rFonts w:ascii="Simplified Arabic" w:eastAsia="Times New Roman" w:hAnsi="Simplified Arabic" w:cs="Simplified Arabic"/>
          <w:sz w:val="24"/>
          <w:szCs w:val="24"/>
          <w:rtl/>
          <w:lang w:bidi="ar-SY"/>
        </w:rPr>
        <w:t>ولكن لابدّ من الإقرار، مع ذلك، بأنَّ مقام المرأة في المجتمع وفي المؤسّسات الكاثوليكية المحليّة ليس في الغالب على قدر التزاماتهنّ وجهودهنّ. وعلينا، أولاً، أن نتذكر أنَّ التقليد الشرقي يضع المرأة، وهي مريم المجدلية، في مكانة مرموقة إلى جانب الرسل، لأنّها، منذ أن تبعت يسوع، كانت أوّل من وافى القبر لتتلقّى بشرى القيامة، وتُعلنها للتلاميذ</w:t>
      </w:r>
      <w:r w:rsidR="007703BC" w:rsidRPr="00E8444D">
        <w:rPr>
          <w:rStyle w:val="FootnoteReference"/>
          <w:rFonts w:ascii="Simplified Arabic" w:eastAsia="Times New Roman" w:hAnsi="Simplified Arabic" w:cs="Simplified Arabic"/>
          <w:sz w:val="24"/>
          <w:szCs w:val="24"/>
          <w:rtl/>
          <w:lang w:bidi="ar-SY"/>
        </w:rPr>
        <w:footnoteReference w:id="15"/>
      </w:r>
      <w:r w:rsidRPr="00E8444D">
        <w:rPr>
          <w:rFonts w:ascii="Simplified Arabic" w:eastAsia="Times New Roman" w:hAnsi="Simplified Arabic" w:cs="Simplified Arabic"/>
          <w:sz w:val="24"/>
          <w:szCs w:val="24"/>
          <w:rtl/>
          <w:lang w:bidi="ar-SY"/>
        </w:rPr>
        <w:t>. من المناسب إذن ان نُقدّم للنساء قدراً أكبر من المشاركة والمسؤولية في الحياة وفي القرارات الكنسيّة، ونوفّر لهنّ ما يحتجن إليه في مجالات التنشئة. إن دورَهُنّ في تربية الشبيبة، وبخاصةٍ في قطاعات التنشئة الدينية والروحيّة والخلقية والعاطفية</w:t>
      </w:r>
      <w:r w:rsidR="007703BC" w:rsidRPr="00E8444D">
        <w:rPr>
          <w:rStyle w:val="FootnoteReference"/>
          <w:rFonts w:ascii="Simplified Arabic" w:eastAsia="Times New Roman" w:hAnsi="Simplified Arabic" w:cs="Simplified Arabic"/>
          <w:sz w:val="24"/>
          <w:szCs w:val="24"/>
          <w:rtl/>
          <w:lang w:bidi="ar-SY"/>
        </w:rPr>
        <w:footnoteReference w:id="16"/>
      </w:r>
      <w:r w:rsidRPr="00E8444D">
        <w:rPr>
          <w:rFonts w:ascii="Simplified Arabic" w:eastAsia="Times New Roman" w:hAnsi="Simplified Arabic" w:cs="Simplified Arabic"/>
          <w:sz w:val="24"/>
          <w:szCs w:val="24"/>
          <w:rtl/>
          <w:lang w:bidi="ar-SY"/>
        </w:rPr>
        <w:t>، يحتلّ مكاناً رفيعاً جداً، وذلك أن "نفس الولد مدينة حديثة البناء والتنظيم"، تتطلّب صبراً وسهراً مستمرّين</w:t>
      </w:r>
      <w:r w:rsidR="007703BC" w:rsidRPr="00E8444D">
        <w:rPr>
          <w:rStyle w:val="FootnoteReference"/>
          <w:rFonts w:ascii="Simplified Arabic" w:eastAsia="Times New Roman" w:hAnsi="Simplified Arabic" w:cs="Simplified Arabic"/>
          <w:sz w:val="24"/>
          <w:szCs w:val="24"/>
          <w:rtl/>
          <w:lang w:bidi="ar-SY"/>
        </w:rPr>
        <w:footnoteReference w:id="17"/>
      </w:r>
      <w:r w:rsidRPr="00E8444D">
        <w:rPr>
          <w:rFonts w:ascii="Simplified Arabic" w:eastAsia="Times New Roman" w:hAnsi="Simplified Arabic" w:cs="Simplified Arabic"/>
          <w:sz w:val="24"/>
          <w:szCs w:val="24"/>
          <w:rtl/>
          <w:lang w:bidi="ar-SY"/>
        </w:rPr>
        <w:t>. قد اضطلعن ولا يزلن يضطلعن بمهمّة حاسمة في الحياة الكنسيّة والمجتمع اللبنانيّ، معلناتٍ بذلك أنّ بذل الذات حباً هو من خصائص الطبيعة البشرية الخالصة. وإبّان سنيّ الحرب قد تفانين للمحافظة على الحياة والإبقاء على الأمل بالسلام، وهنّ مدعوّات أيضاً، كما ذكّرت بذلك أخيراً، إلى أن يكنّ مربّيات للسلام "في العلاقات بين الأفراد وبين الأجيال، في الأسرة وفي حياة الأمم الثقافية والاجتماعية والسياسية"</w:t>
      </w:r>
      <w:r w:rsidR="007703BC" w:rsidRPr="00E8444D">
        <w:rPr>
          <w:rStyle w:val="FootnoteReference"/>
          <w:rFonts w:ascii="Simplified Arabic" w:eastAsia="Times New Roman" w:hAnsi="Simplified Arabic" w:cs="Simplified Arabic"/>
          <w:sz w:val="24"/>
          <w:szCs w:val="24"/>
          <w:rtl/>
          <w:lang w:bidi="ar-SY"/>
        </w:rPr>
        <w:footnoteReference w:id="18"/>
      </w:r>
      <w:r w:rsidRPr="00E8444D">
        <w:rPr>
          <w:rFonts w:ascii="Simplified Arabic" w:eastAsia="Times New Roman" w:hAnsi="Simplified Arabic" w:cs="Simplified Arabic"/>
          <w:sz w:val="24"/>
          <w:szCs w:val="24"/>
          <w:rtl/>
          <w:lang w:bidi="ar-SY"/>
        </w:rPr>
        <w:t>. وينشطن، خصوصاً، في الخدمات الصحيّة والاجتماعية والتربوية. ويسعدني أنَّ يكون آباء السينودس قد أرادوا أن يُفسحوا للنساء مجالاً أوسع للعمل في مختلف البُنى الكنسيّة، على صعيد الرعايا والأبرشيّات والهيئات القائمة في البطريركيات وتلك التي ما بين البطريركيات، وذلك في المجالات الروحية والفكرية والتربوية والاجتماعية والإدارية. بوسعهنّ أن يقمن بخدمات جُلّى، بصفاتهنّ الشخصيّة المميزّة.</w:t>
      </w:r>
    </w:p>
    <w:p w:rsidR="00B0222A" w:rsidRPr="00E8444D" w:rsidRDefault="00B0222A" w:rsidP="00E8444D">
      <w:pPr>
        <w:bidi/>
        <w:spacing w:after="0" w:line="240" w:lineRule="auto"/>
        <w:ind w:left="180" w:right="90"/>
        <w:rPr>
          <w:rFonts w:ascii="Simplified Arabic" w:eastAsia="Times New Roman" w:hAnsi="Simplified Arabic" w:cs="Simplified Arabic"/>
          <w:sz w:val="24"/>
          <w:szCs w:val="24"/>
          <w:rtl/>
        </w:rPr>
      </w:pPr>
      <w:r w:rsidRPr="00E8444D">
        <w:rPr>
          <w:rFonts w:ascii="Simplified Arabic" w:eastAsia="Times New Roman" w:hAnsi="Simplified Arabic" w:cs="Simplified Arabic"/>
          <w:sz w:val="24"/>
          <w:szCs w:val="24"/>
          <w:rtl/>
        </w:rPr>
        <w:t> </w:t>
      </w:r>
    </w:p>
    <w:p w:rsidR="006A450E" w:rsidRPr="00E8444D" w:rsidRDefault="006A450E" w:rsidP="00E8444D">
      <w:pPr>
        <w:bidi/>
        <w:spacing w:after="0" w:line="240" w:lineRule="auto"/>
        <w:ind w:left="180" w:right="90"/>
        <w:rPr>
          <w:rFonts w:ascii="Simplified Arabic" w:eastAsia="Times New Roman" w:hAnsi="Simplified Arabic" w:cs="Simplified Arabic"/>
          <w:sz w:val="24"/>
          <w:szCs w:val="24"/>
          <w:rtl/>
        </w:rPr>
      </w:pPr>
    </w:p>
    <w:p w:rsidR="00CB0D7D" w:rsidRPr="00E8444D" w:rsidRDefault="00CB0D7D" w:rsidP="00E8444D">
      <w:pPr>
        <w:bidi/>
        <w:spacing w:after="0" w:line="240" w:lineRule="auto"/>
        <w:ind w:left="180" w:right="90"/>
        <w:rPr>
          <w:rFonts w:ascii="Simplified Arabic" w:eastAsia="Times New Roman" w:hAnsi="Simplified Arabic" w:cs="Simplified Arabic"/>
          <w:sz w:val="24"/>
          <w:szCs w:val="24"/>
        </w:rPr>
      </w:pPr>
      <w:r w:rsidRPr="00E8444D">
        <w:rPr>
          <w:rFonts w:ascii="Simplified Arabic" w:eastAsia="Times New Roman" w:hAnsi="Simplified Arabic" w:cs="Simplified Arabic"/>
          <w:b/>
          <w:bCs/>
          <w:sz w:val="24"/>
          <w:szCs w:val="24"/>
          <w:rtl/>
          <w:lang w:bidi="ar-SY"/>
        </w:rPr>
        <w:t>الشباب</w:t>
      </w:r>
    </w:p>
    <w:p w:rsidR="00CB0D7D" w:rsidRPr="00E8444D" w:rsidRDefault="00CB0D7D" w:rsidP="00E8444D">
      <w:pPr>
        <w:bidi/>
        <w:spacing w:after="0" w:line="240" w:lineRule="auto"/>
        <w:ind w:left="180" w:right="90"/>
        <w:rPr>
          <w:rFonts w:ascii="Simplified Arabic" w:eastAsia="Times New Roman" w:hAnsi="Simplified Arabic" w:cs="Simplified Arabic"/>
          <w:sz w:val="24"/>
          <w:szCs w:val="24"/>
          <w:rtl/>
        </w:rPr>
      </w:pPr>
      <w:bookmarkStart w:id="5" w:name="51"/>
      <w:r w:rsidRPr="00E8444D">
        <w:rPr>
          <w:rFonts w:ascii="Simplified Arabic" w:eastAsia="Times New Roman" w:hAnsi="Simplified Arabic" w:cs="Simplified Arabic"/>
          <w:b/>
          <w:bCs/>
          <w:sz w:val="24"/>
          <w:szCs w:val="24"/>
          <w:rtl/>
          <w:lang w:bidi="ar-SY"/>
        </w:rPr>
        <w:t>51</w:t>
      </w:r>
      <w:bookmarkEnd w:id="5"/>
      <w:r w:rsidRPr="00E8444D">
        <w:rPr>
          <w:rFonts w:ascii="Simplified Arabic" w:eastAsia="Times New Roman" w:hAnsi="Simplified Arabic" w:cs="Simplified Arabic"/>
          <w:b/>
          <w:bCs/>
          <w:sz w:val="24"/>
          <w:szCs w:val="24"/>
          <w:rtl/>
          <w:lang w:bidi="ar-SY"/>
        </w:rPr>
        <w:t>-</w:t>
      </w:r>
      <w:r w:rsidRPr="00E8444D">
        <w:rPr>
          <w:rFonts w:ascii="Simplified Arabic" w:eastAsia="Times New Roman" w:hAnsi="Simplified Arabic" w:cs="Simplified Arabic"/>
          <w:sz w:val="24"/>
          <w:szCs w:val="24"/>
          <w:rtl/>
          <w:lang w:bidi="ar-SY"/>
        </w:rPr>
        <w:t xml:space="preserve"> "يشكو الشباب اللبناني من خيبة أمل من الجيل السابق، الذي لم يُتح لهم المجال لكي يختبروا السلام بل الحرب و الحقد"</w:t>
      </w:r>
      <w:r w:rsidRPr="00E8444D">
        <w:rPr>
          <w:rStyle w:val="FootnoteReference"/>
          <w:rFonts w:ascii="Simplified Arabic" w:eastAsia="Times New Roman" w:hAnsi="Simplified Arabic" w:cs="Simplified Arabic"/>
          <w:sz w:val="24"/>
          <w:szCs w:val="24"/>
          <w:rtl/>
          <w:lang w:bidi="ar-SY"/>
        </w:rPr>
        <w:footnoteReference w:id="19"/>
      </w:r>
      <w:r w:rsidRPr="00E8444D">
        <w:rPr>
          <w:rFonts w:ascii="Simplified Arabic" w:eastAsia="Times New Roman" w:hAnsi="Simplified Arabic" w:cs="Simplified Arabic"/>
          <w:sz w:val="24"/>
          <w:szCs w:val="24"/>
          <w:rtl/>
          <w:lang w:bidi="ar-SY"/>
        </w:rPr>
        <w:t>. وقد نقلوا إلى الآباء، في الجمعية السينودسية، انتقاداتهم ومتطلباتهم بصراحة وشجاعة، فاظهروا بذلك أنهم يتوّقعون من الكنيسة تغييرات حاسمة. لقد طالبوا، باسم الإنجيل، بأعمال منسّقة، وعبّروا عن آلامهم تجاه الانقسامات الكنسيّة، التي تعرقل الرسالة، وهم يتمنّون كنيسة تُبدي وحدتها في التنوّع،  وتكون مكاناً صالحاً لحياة أخوّةٍ ومشاركة وتزوّد ورجاء.</w:t>
      </w:r>
    </w:p>
    <w:p w:rsidR="00CB0D7D" w:rsidRPr="00E8444D" w:rsidRDefault="00CB0D7D" w:rsidP="00E8444D">
      <w:pPr>
        <w:bidi/>
        <w:spacing w:after="0" w:line="240" w:lineRule="auto"/>
        <w:ind w:left="180" w:right="90"/>
        <w:rPr>
          <w:rFonts w:ascii="Simplified Arabic" w:eastAsia="Times New Roman" w:hAnsi="Simplified Arabic" w:cs="Simplified Arabic"/>
          <w:sz w:val="24"/>
          <w:szCs w:val="24"/>
          <w:rtl/>
        </w:rPr>
      </w:pPr>
      <w:r w:rsidRPr="00E8444D">
        <w:rPr>
          <w:rFonts w:ascii="Simplified Arabic" w:eastAsia="Times New Roman" w:hAnsi="Simplified Arabic" w:cs="Simplified Arabic"/>
          <w:sz w:val="24"/>
          <w:szCs w:val="24"/>
          <w:rtl/>
          <w:lang w:bidi="ar-SY"/>
        </w:rPr>
        <w:lastRenderedPageBreak/>
        <w:t>في ضمير الشعب اللبناني، وداخل الكنيسة في لبنان، يجب أن يشغل الشباب محلاً مرموقاً، ويكون حافز تجدّد وطنيّ وكنسيّ، وذلك بالمشاركة في مختلف بُنى الحياة الاجتماعية ومراكز القرار. ويجب مساعدتهم على التغلّب على تجارب التشدّد والتراخي التي يُمكن أن تتربص بهم، ورفض مختلف أشكال الحياة المنافية لسلامة الأخلاق. ومن المستحسن، من جهة أخرى، إرشادهم إلى المبادئ والقيم التي ترتكز عليها الحياة الفرديّة والاجتماعية، فيُصبحوا بذلك شركاء، بشراكة كاملة، يعنون بمواصلة الحوار، بلا كلل، مع إخوةٍ لهم يرغبون في الوصول إلى تسويات تُمكنّهم من العيش معاً، ولكن بدون الانزلاق إلى تنازلات على صعيد المبادئ والقيم.</w:t>
      </w:r>
    </w:p>
    <w:p w:rsidR="00CB0D7D" w:rsidRPr="00E8444D" w:rsidRDefault="00CB0D7D" w:rsidP="00E8444D">
      <w:pPr>
        <w:bidi/>
        <w:spacing w:after="0" w:line="240" w:lineRule="auto"/>
        <w:ind w:left="180" w:right="90"/>
        <w:rPr>
          <w:rFonts w:ascii="Simplified Arabic" w:eastAsia="Times New Roman" w:hAnsi="Simplified Arabic" w:cs="Simplified Arabic"/>
          <w:sz w:val="24"/>
          <w:szCs w:val="24"/>
          <w:rtl/>
        </w:rPr>
      </w:pPr>
      <w:r w:rsidRPr="00E8444D">
        <w:rPr>
          <w:rFonts w:ascii="Simplified Arabic" w:eastAsia="Times New Roman" w:hAnsi="Simplified Arabic" w:cs="Simplified Arabic"/>
          <w:sz w:val="24"/>
          <w:szCs w:val="24"/>
          <w:rtl/>
          <w:lang w:bidi="ar-SY"/>
        </w:rPr>
        <w:t>إن الكنيسة تُعوّل على الشباب لإعطاء الحياة الكنسيّة والحياة الاجتماعية انطلاقةً جديدة. ومن ثمّ فالجماعات المسيحيّة مدعوّةٌ إلى أن تفسح لهم مجالاً أوسع للاندماج في كل نشاطاتها، فيغدوا بذلك فاعلي "البشارة الجديدة"، وزراعي الكلمة في نفوس غيرهم من الشباب، مجنَّدين حيويّتهم الخاصة للتجدّد الكنسي</w:t>
      </w:r>
      <w:r w:rsidRPr="00E8444D">
        <w:rPr>
          <w:rStyle w:val="FootnoteReference"/>
          <w:rFonts w:ascii="Simplified Arabic" w:eastAsia="Times New Roman" w:hAnsi="Simplified Arabic" w:cs="Simplified Arabic"/>
          <w:sz w:val="24"/>
          <w:szCs w:val="24"/>
          <w:rtl/>
          <w:lang w:bidi="ar-SY"/>
        </w:rPr>
        <w:footnoteReference w:id="20"/>
      </w:r>
      <w:hyperlink r:id="rId13" w:anchor="128)" w:history="1"/>
      <w:r w:rsidRPr="00E8444D">
        <w:rPr>
          <w:rFonts w:ascii="Simplified Arabic" w:eastAsia="Times New Roman" w:hAnsi="Simplified Arabic" w:cs="Simplified Arabic"/>
          <w:sz w:val="24"/>
          <w:szCs w:val="24"/>
          <w:rtl/>
          <w:lang w:bidi="ar-SY"/>
        </w:rPr>
        <w:t>. وهم كذلك مدعوّون ليكونوا مشاركين، مشاركة كاملة، في بناء المجتمع. ولذا ينبغي أن يتلقّوا تنشئة فكرية وروحية متينة، تروي عطشهم إلى المطلق والحقيقة؛ وحيثما يسلكون يجب أن يَلقوا ما يحتاجون إليه من مواكبة روحية. إن دور المرشدين الروحييّن، في الحركات وفي الجامعات، سواء أكانوا كهنة أم شمامسة أم رهباناً أم راهبات أم علمانيّين، هو على جانب كبير من الأهمية لتحقيق نموّهم ونضجهم الإنساني والروحي، ولمساعدتهم على تبيُّن دعوتهم واكتشاف مكانهم في المجتمع</w:t>
      </w:r>
      <w:r w:rsidRPr="00E8444D">
        <w:rPr>
          <w:rStyle w:val="FootnoteReference"/>
          <w:rFonts w:ascii="Simplified Arabic" w:eastAsia="Times New Roman" w:hAnsi="Simplified Arabic" w:cs="Simplified Arabic"/>
          <w:sz w:val="24"/>
          <w:szCs w:val="24"/>
          <w:rtl/>
          <w:lang w:bidi="ar-SY"/>
        </w:rPr>
        <w:footnoteReference w:id="21"/>
      </w:r>
      <w:r w:rsidRPr="00E8444D">
        <w:rPr>
          <w:rFonts w:ascii="Simplified Arabic" w:eastAsia="Times New Roman" w:hAnsi="Simplified Arabic" w:cs="Simplified Arabic"/>
          <w:sz w:val="24"/>
          <w:szCs w:val="24"/>
          <w:rtl/>
          <w:lang w:bidi="ar-SY"/>
        </w:rPr>
        <w:t>.</w:t>
      </w:r>
    </w:p>
    <w:p w:rsidR="00CB0D7D" w:rsidRPr="00E8444D" w:rsidRDefault="00CB0D7D" w:rsidP="00E8444D">
      <w:pPr>
        <w:bidi/>
        <w:spacing w:after="0" w:line="240" w:lineRule="auto"/>
        <w:ind w:left="180" w:right="90"/>
        <w:rPr>
          <w:rFonts w:ascii="Simplified Arabic" w:eastAsia="Times New Roman" w:hAnsi="Simplified Arabic" w:cs="Simplified Arabic"/>
          <w:sz w:val="24"/>
          <w:szCs w:val="24"/>
          <w:rtl/>
        </w:rPr>
      </w:pPr>
      <w:r w:rsidRPr="00E8444D">
        <w:rPr>
          <w:rFonts w:ascii="Simplified Arabic" w:eastAsia="Times New Roman" w:hAnsi="Simplified Arabic" w:cs="Simplified Arabic"/>
          <w:sz w:val="24"/>
          <w:szCs w:val="24"/>
          <w:rtl/>
        </w:rPr>
        <w:t> </w:t>
      </w:r>
    </w:p>
    <w:p w:rsidR="00953343" w:rsidRPr="00E8444D" w:rsidRDefault="00953343" w:rsidP="00E8444D">
      <w:pPr>
        <w:bidi/>
        <w:spacing w:after="0" w:line="240" w:lineRule="auto"/>
        <w:ind w:left="180" w:right="90"/>
        <w:rPr>
          <w:rFonts w:ascii="Simplified Arabic" w:eastAsia="Times New Roman" w:hAnsi="Simplified Arabic" w:cs="Simplified Arabic"/>
          <w:sz w:val="24"/>
          <w:szCs w:val="24"/>
          <w:rtl/>
        </w:rPr>
      </w:pPr>
      <w:r w:rsidRPr="00E8444D">
        <w:rPr>
          <w:rFonts w:ascii="Simplified Arabic" w:eastAsia="Times New Roman" w:hAnsi="Simplified Arabic" w:cs="Simplified Arabic"/>
          <w:sz w:val="24"/>
          <w:szCs w:val="24"/>
          <w:rtl/>
        </w:rPr>
        <w:t>أُعطِيَ في بيروت، في العاشر من أيّار 1997،</w:t>
      </w:r>
    </w:p>
    <w:p w:rsidR="00953343" w:rsidRPr="00E8444D" w:rsidRDefault="00953343" w:rsidP="00E8444D">
      <w:pPr>
        <w:bidi/>
        <w:spacing w:after="0" w:line="240" w:lineRule="auto"/>
        <w:ind w:left="180" w:right="90"/>
        <w:rPr>
          <w:rFonts w:ascii="Simplified Arabic" w:eastAsia="Times New Roman" w:hAnsi="Simplified Arabic" w:cs="Simplified Arabic"/>
          <w:sz w:val="24"/>
          <w:szCs w:val="24"/>
          <w:rtl/>
        </w:rPr>
      </w:pPr>
      <w:r w:rsidRPr="00E8444D">
        <w:rPr>
          <w:rFonts w:ascii="Simplified Arabic" w:eastAsia="Times New Roman" w:hAnsi="Simplified Arabic" w:cs="Simplified Arabic"/>
          <w:sz w:val="24"/>
          <w:szCs w:val="24"/>
          <w:rtl/>
        </w:rPr>
        <w:t>في مناسبة زيارتي الراعويّة إلى لبنان،</w:t>
      </w:r>
    </w:p>
    <w:p w:rsidR="00953343" w:rsidRPr="00E8444D" w:rsidRDefault="00953343" w:rsidP="00E8444D">
      <w:pPr>
        <w:bidi/>
        <w:spacing w:after="0" w:line="240" w:lineRule="auto"/>
        <w:ind w:left="180" w:right="90"/>
        <w:rPr>
          <w:rFonts w:ascii="Simplified Arabic" w:eastAsia="Times New Roman" w:hAnsi="Simplified Arabic" w:cs="Simplified Arabic"/>
          <w:sz w:val="24"/>
          <w:szCs w:val="24"/>
          <w:rtl/>
        </w:rPr>
      </w:pPr>
      <w:r w:rsidRPr="00E8444D">
        <w:rPr>
          <w:rFonts w:ascii="Simplified Arabic" w:eastAsia="Times New Roman" w:hAnsi="Simplified Arabic" w:cs="Simplified Arabic"/>
          <w:sz w:val="24"/>
          <w:szCs w:val="24"/>
          <w:rtl/>
        </w:rPr>
        <w:t>في السنة التاسعة عشرة لحبريّتي.</w:t>
      </w:r>
    </w:p>
    <w:p w:rsidR="00953343" w:rsidRPr="00E8444D" w:rsidRDefault="00953343" w:rsidP="00E8444D">
      <w:pPr>
        <w:bidi/>
        <w:spacing w:after="0" w:line="240" w:lineRule="auto"/>
        <w:ind w:left="180" w:right="90"/>
        <w:rPr>
          <w:rFonts w:ascii="Simplified Arabic" w:eastAsia="Times New Roman" w:hAnsi="Simplified Arabic" w:cs="Simplified Arabic"/>
          <w:sz w:val="24"/>
          <w:szCs w:val="24"/>
          <w:rtl/>
        </w:rPr>
      </w:pPr>
      <w:r w:rsidRPr="00E8444D">
        <w:rPr>
          <w:rFonts w:ascii="Simplified Arabic" w:eastAsia="Times New Roman" w:hAnsi="Simplified Arabic" w:cs="Simplified Arabic"/>
          <w:sz w:val="24"/>
          <w:szCs w:val="24"/>
          <w:rtl/>
        </w:rPr>
        <w:t>يوحنّا بولس الثاني</w:t>
      </w:r>
    </w:p>
    <w:p w:rsidR="00953343" w:rsidRPr="00E8444D" w:rsidRDefault="00953343" w:rsidP="00E8444D">
      <w:pPr>
        <w:bidi/>
        <w:spacing w:after="0" w:line="240" w:lineRule="auto"/>
        <w:ind w:left="180" w:right="90"/>
        <w:rPr>
          <w:rFonts w:ascii="Simplified Arabic" w:eastAsia="Times New Roman" w:hAnsi="Simplified Arabic" w:cs="Simplified Arabic"/>
          <w:sz w:val="24"/>
          <w:szCs w:val="24"/>
          <w:rtl/>
        </w:rPr>
      </w:pPr>
    </w:p>
    <w:sectPr w:rsidR="00953343" w:rsidRPr="00E8444D" w:rsidSect="00953343">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C8D" w:rsidRDefault="00AC2C8D" w:rsidP="00B0222A">
      <w:pPr>
        <w:spacing w:after="0" w:line="240" w:lineRule="auto"/>
      </w:pPr>
      <w:r>
        <w:separator/>
      </w:r>
    </w:p>
  </w:endnote>
  <w:endnote w:type="continuationSeparator" w:id="1">
    <w:p w:rsidR="00AC2C8D" w:rsidRDefault="00AC2C8D" w:rsidP="00B022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44D" w:rsidRDefault="00E844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6161"/>
      <w:docPartObj>
        <w:docPartGallery w:val="Page Numbers (Bottom of Page)"/>
        <w:docPartUnique/>
      </w:docPartObj>
    </w:sdtPr>
    <w:sdtContent>
      <w:p w:rsidR="00E8444D" w:rsidRDefault="00AA70B4">
        <w:pPr>
          <w:pStyle w:val="Footer"/>
          <w:jc w:val="center"/>
        </w:pPr>
        <w:fldSimple w:instr=" PAGE   \* MERGEFORMAT ">
          <w:r w:rsidR="00AE61B3">
            <w:rPr>
              <w:noProof/>
            </w:rPr>
            <w:t>1</w:t>
          </w:r>
        </w:fldSimple>
      </w:p>
    </w:sdtContent>
  </w:sdt>
  <w:p w:rsidR="00E8444D" w:rsidRDefault="00E8444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44D" w:rsidRDefault="00E844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C8D" w:rsidRDefault="00AC2C8D" w:rsidP="00B0222A">
      <w:pPr>
        <w:spacing w:after="0" w:line="240" w:lineRule="auto"/>
      </w:pPr>
    </w:p>
  </w:footnote>
  <w:footnote w:type="continuationSeparator" w:id="1">
    <w:p w:rsidR="00AC2C8D" w:rsidRDefault="00AC2C8D" w:rsidP="00B0222A">
      <w:pPr>
        <w:spacing w:after="0" w:line="240" w:lineRule="auto"/>
      </w:pPr>
      <w:r>
        <w:continuationSeparator/>
      </w:r>
    </w:p>
  </w:footnote>
  <w:footnote w:id="2">
    <w:p w:rsidR="00B0222A" w:rsidRPr="00CB0D7D" w:rsidRDefault="00B0222A" w:rsidP="00953343">
      <w:pPr>
        <w:pStyle w:val="FootnoteText"/>
        <w:bidi/>
        <w:ind w:left="180" w:right="180"/>
        <w:contextualSpacing/>
        <w:rPr>
          <w:rFonts w:ascii="Traditional Arabic" w:hAnsi="Traditional Arabic" w:cs="Traditional Arabic"/>
          <w:rtl/>
        </w:rPr>
      </w:pPr>
      <w:r w:rsidRPr="00CB0D7D">
        <w:rPr>
          <w:rStyle w:val="FootnoteReference"/>
          <w:rFonts w:ascii="Traditional Arabic" w:hAnsi="Traditional Arabic" w:cs="Traditional Arabic"/>
        </w:rPr>
        <w:footnoteRef/>
      </w:r>
      <w:r w:rsidRPr="00CB0D7D">
        <w:rPr>
          <w:rFonts w:ascii="Traditional Arabic" w:hAnsi="Traditional Arabic" w:cs="Traditional Arabic"/>
        </w:rPr>
        <w:t xml:space="preserve"> </w:t>
      </w:r>
      <w:r w:rsidRPr="000C41AE">
        <w:rPr>
          <w:rFonts w:ascii="Traditional Arabic" w:eastAsia="Times New Roman" w:hAnsi="Traditional Arabic" w:cs="Traditional Arabic"/>
          <w:rtl/>
        </w:rPr>
        <w:t>سينودس الأساقفة الخاص بلبنان، النداء الأخير، الفقرة 27: ت. ك 93 (1996) ص 39</w:t>
      </w:r>
    </w:p>
  </w:footnote>
  <w:footnote w:id="3">
    <w:p w:rsidR="00B0222A" w:rsidRPr="00CB0D7D" w:rsidRDefault="00B0222A" w:rsidP="00953343">
      <w:pPr>
        <w:pStyle w:val="FootnoteText"/>
        <w:bidi/>
        <w:ind w:left="180" w:right="180"/>
        <w:contextualSpacing/>
        <w:rPr>
          <w:rFonts w:ascii="Traditional Arabic" w:hAnsi="Traditional Arabic" w:cs="Traditional Arabic"/>
          <w:rtl/>
          <w:lang w:bidi="ar-LB"/>
        </w:rPr>
      </w:pPr>
      <w:r w:rsidRPr="00CB0D7D">
        <w:rPr>
          <w:rStyle w:val="FootnoteReference"/>
          <w:rFonts w:ascii="Traditional Arabic" w:hAnsi="Traditional Arabic" w:cs="Traditional Arabic"/>
        </w:rPr>
        <w:footnoteRef/>
      </w:r>
      <w:r w:rsidRPr="00CB0D7D">
        <w:rPr>
          <w:rFonts w:ascii="Traditional Arabic" w:hAnsi="Traditional Arabic" w:cs="Traditional Arabic"/>
        </w:rPr>
        <w:t xml:space="preserve"> </w:t>
      </w:r>
      <w:r w:rsidRPr="00CB0D7D">
        <w:rPr>
          <w:rFonts w:ascii="Traditional Arabic" w:hAnsi="Traditional Arabic" w:cs="Traditional Arabic"/>
          <w:rtl/>
        </w:rPr>
        <w:t xml:space="preserve"> </w:t>
      </w:r>
      <w:r w:rsidRPr="000C41AE">
        <w:rPr>
          <w:rFonts w:ascii="Traditional Arabic" w:eastAsia="Times New Roman" w:hAnsi="Traditional Arabic" w:cs="Traditional Arabic"/>
          <w:rtl/>
        </w:rPr>
        <w:t xml:space="preserve">يوحنا </w:t>
      </w:r>
      <w:r w:rsidRPr="000C41AE">
        <w:rPr>
          <w:rFonts w:ascii="Traditional Arabic" w:eastAsia="Times New Roman" w:hAnsi="Traditional Arabic" w:cs="Traditional Arabic"/>
          <w:rtl/>
        </w:rPr>
        <w:t>بولس الثاني، إرشاد رسولي، وظائف العائلة المسيحية [</w:t>
      </w:r>
      <w:proofErr w:type="spellStart"/>
      <w:r w:rsidRPr="000C41AE">
        <w:rPr>
          <w:rFonts w:ascii="Traditional Arabic" w:eastAsia="Times New Roman" w:hAnsi="Traditional Arabic" w:cs="Traditional Arabic"/>
        </w:rPr>
        <w:t>Familiaris</w:t>
      </w:r>
      <w:proofErr w:type="spellEnd"/>
      <w:r w:rsidRPr="000C41AE">
        <w:rPr>
          <w:rFonts w:ascii="Traditional Arabic" w:eastAsia="Times New Roman" w:hAnsi="Traditional Arabic" w:cs="Traditional Arabic"/>
        </w:rPr>
        <w:t xml:space="preserve"> </w:t>
      </w:r>
      <w:proofErr w:type="spellStart"/>
      <w:r w:rsidRPr="000C41AE">
        <w:rPr>
          <w:rFonts w:ascii="Traditional Arabic" w:eastAsia="Times New Roman" w:hAnsi="Traditional Arabic" w:cs="Traditional Arabic"/>
        </w:rPr>
        <w:t>Consortio</w:t>
      </w:r>
      <w:proofErr w:type="spellEnd"/>
      <w:r w:rsidRPr="000C41AE">
        <w:rPr>
          <w:rFonts w:ascii="Traditional Arabic" w:eastAsia="Times New Roman" w:hAnsi="Traditional Arabic" w:cs="Traditional Arabic"/>
          <w:rtl/>
        </w:rPr>
        <w:t>]،</w:t>
      </w:r>
      <w:r w:rsidRPr="00CB0D7D">
        <w:rPr>
          <w:rFonts w:ascii="Traditional Arabic" w:eastAsia="Times New Roman" w:hAnsi="Traditional Arabic" w:cs="Traditional Arabic"/>
          <w:color w:val="0000FF"/>
          <w:rtl/>
        </w:rPr>
        <w:t xml:space="preserve"> </w:t>
      </w:r>
      <w:r w:rsidRPr="00E54C74">
        <w:rPr>
          <w:rFonts w:ascii="Traditional Arabic" w:eastAsia="Times New Roman" w:hAnsi="Traditional Arabic" w:cs="Traditional Arabic"/>
          <w:rtl/>
        </w:rPr>
        <w:t>الفقرة 59:</w:t>
      </w:r>
      <w:r w:rsidRPr="000C41AE">
        <w:rPr>
          <w:rFonts w:ascii="Traditional Arabic" w:eastAsia="Times New Roman" w:hAnsi="Traditional Arabic" w:cs="Traditional Arabic"/>
          <w:rtl/>
        </w:rPr>
        <w:t xml:space="preserve"> أ. ك. ر 74 (1982)، ص 151</w:t>
      </w:r>
    </w:p>
  </w:footnote>
  <w:footnote w:id="4">
    <w:p w:rsidR="00B0222A" w:rsidRPr="00CB0D7D" w:rsidRDefault="00B0222A" w:rsidP="00953343">
      <w:pPr>
        <w:pStyle w:val="FootnoteText"/>
        <w:bidi/>
        <w:ind w:left="180" w:right="180"/>
        <w:contextualSpacing/>
        <w:rPr>
          <w:rFonts w:ascii="Traditional Arabic" w:hAnsi="Traditional Arabic" w:cs="Traditional Arabic"/>
          <w:rtl/>
        </w:rPr>
      </w:pPr>
      <w:r w:rsidRPr="00CB0D7D">
        <w:rPr>
          <w:rStyle w:val="FootnoteReference"/>
          <w:rFonts w:ascii="Traditional Arabic" w:hAnsi="Traditional Arabic" w:cs="Traditional Arabic"/>
        </w:rPr>
        <w:footnoteRef/>
      </w:r>
      <w:r w:rsidRPr="00CB0D7D">
        <w:rPr>
          <w:rFonts w:ascii="Traditional Arabic" w:hAnsi="Traditional Arabic" w:cs="Traditional Arabic"/>
        </w:rPr>
        <w:t xml:space="preserve"> </w:t>
      </w:r>
      <w:r w:rsidRPr="00CB0D7D">
        <w:rPr>
          <w:rFonts w:ascii="Traditional Arabic" w:hAnsi="Traditional Arabic" w:cs="Traditional Arabic"/>
          <w:rtl/>
          <w:lang w:bidi="ar-LB"/>
        </w:rPr>
        <w:t xml:space="preserve"> </w:t>
      </w:r>
      <w:r w:rsidRPr="000C41AE">
        <w:rPr>
          <w:rFonts w:ascii="Traditional Arabic" w:eastAsia="Times New Roman" w:hAnsi="Traditional Arabic" w:cs="Traditional Arabic"/>
          <w:rtl/>
        </w:rPr>
        <w:t xml:space="preserve">سينودس </w:t>
      </w:r>
      <w:r w:rsidRPr="000C41AE">
        <w:rPr>
          <w:rFonts w:ascii="Traditional Arabic" w:eastAsia="Times New Roman" w:hAnsi="Traditional Arabic" w:cs="Traditional Arabic"/>
          <w:rtl/>
        </w:rPr>
        <w:t>الأساقفة الخاص بلبنان، وثيقة العمل، الفقرة 53</w:t>
      </w:r>
    </w:p>
  </w:footnote>
  <w:footnote w:id="5">
    <w:p w:rsidR="00B0222A" w:rsidRPr="00CB0D7D" w:rsidRDefault="00B0222A" w:rsidP="00953343">
      <w:pPr>
        <w:pStyle w:val="FootnoteText"/>
        <w:bidi/>
        <w:ind w:left="180" w:right="180"/>
        <w:contextualSpacing/>
        <w:rPr>
          <w:rFonts w:ascii="Traditional Arabic" w:hAnsi="Traditional Arabic" w:cs="Traditional Arabic"/>
          <w:rtl/>
          <w:lang w:bidi="ar-LB"/>
        </w:rPr>
      </w:pPr>
      <w:r w:rsidRPr="00CB0D7D">
        <w:rPr>
          <w:rStyle w:val="FootnoteReference"/>
          <w:rFonts w:ascii="Traditional Arabic" w:hAnsi="Traditional Arabic" w:cs="Traditional Arabic"/>
        </w:rPr>
        <w:footnoteRef/>
      </w:r>
      <w:r w:rsidRPr="00CB0D7D">
        <w:rPr>
          <w:rFonts w:ascii="Traditional Arabic" w:hAnsi="Traditional Arabic" w:cs="Traditional Arabic"/>
        </w:rPr>
        <w:t xml:space="preserve"> </w:t>
      </w:r>
      <w:r w:rsidRPr="00CB0D7D">
        <w:rPr>
          <w:rFonts w:ascii="Traditional Arabic" w:hAnsi="Traditional Arabic" w:cs="Traditional Arabic"/>
          <w:rtl/>
          <w:lang w:bidi="ar-LB"/>
        </w:rPr>
        <w:t xml:space="preserve"> </w:t>
      </w:r>
      <w:r w:rsidRPr="000C41AE">
        <w:rPr>
          <w:rFonts w:ascii="Traditional Arabic" w:eastAsia="Times New Roman" w:hAnsi="Traditional Arabic" w:cs="Traditional Arabic"/>
          <w:rtl/>
        </w:rPr>
        <w:t xml:space="preserve">التوصية </w:t>
      </w:r>
      <w:r w:rsidRPr="000C41AE">
        <w:rPr>
          <w:rFonts w:ascii="Traditional Arabic" w:eastAsia="Times New Roman" w:hAnsi="Traditional Arabic" w:cs="Traditional Arabic"/>
          <w:rtl/>
        </w:rPr>
        <w:t>7</w:t>
      </w:r>
    </w:p>
  </w:footnote>
  <w:footnote w:id="6">
    <w:p w:rsidR="00B0222A" w:rsidRPr="00CB0D7D" w:rsidRDefault="00B0222A" w:rsidP="00953343">
      <w:pPr>
        <w:pStyle w:val="FootnoteText"/>
        <w:bidi/>
        <w:ind w:left="180" w:right="180"/>
        <w:contextualSpacing/>
        <w:rPr>
          <w:rFonts w:ascii="Traditional Arabic" w:hAnsi="Traditional Arabic" w:cs="Traditional Arabic"/>
          <w:rtl/>
        </w:rPr>
      </w:pPr>
      <w:r w:rsidRPr="00CB0D7D">
        <w:rPr>
          <w:rStyle w:val="FootnoteReference"/>
          <w:rFonts w:ascii="Traditional Arabic" w:hAnsi="Traditional Arabic" w:cs="Traditional Arabic"/>
        </w:rPr>
        <w:footnoteRef/>
      </w:r>
      <w:r w:rsidRPr="00CB0D7D">
        <w:rPr>
          <w:rFonts w:ascii="Traditional Arabic" w:hAnsi="Traditional Arabic" w:cs="Traditional Arabic"/>
        </w:rPr>
        <w:t xml:space="preserve"> </w:t>
      </w:r>
      <w:r w:rsidRPr="00CB0D7D">
        <w:rPr>
          <w:rFonts w:ascii="Traditional Arabic" w:hAnsi="Traditional Arabic" w:cs="Traditional Arabic"/>
          <w:rtl/>
          <w:lang w:bidi="ar-LB"/>
        </w:rPr>
        <w:t xml:space="preserve"> </w:t>
      </w:r>
      <w:r w:rsidRPr="000C41AE">
        <w:rPr>
          <w:rFonts w:ascii="Traditional Arabic" w:eastAsia="Times New Roman" w:hAnsi="Traditional Arabic" w:cs="Traditional Arabic"/>
          <w:rtl/>
        </w:rPr>
        <w:t xml:space="preserve">سينودس </w:t>
      </w:r>
      <w:r w:rsidRPr="000C41AE">
        <w:rPr>
          <w:rFonts w:ascii="Traditional Arabic" w:eastAsia="Times New Roman" w:hAnsi="Traditional Arabic" w:cs="Traditional Arabic"/>
          <w:rtl/>
        </w:rPr>
        <w:t>الأساقفة الخاص بلبنان، تقرير ما بعد المناقشة، 2، 7</w:t>
      </w:r>
    </w:p>
  </w:footnote>
  <w:footnote w:id="7">
    <w:p w:rsidR="00B0222A" w:rsidRPr="00CB0D7D" w:rsidRDefault="00B0222A" w:rsidP="00953343">
      <w:pPr>
        <w:pStyle w:val="FootnoteText"/>
        <w:bidi/>
        <w:ind w:left="180" w:right="180"/>
        <w:contextualSpacing/>
        <w:rPr>
          <w:rFonts w:ascii="Traditional Arabic" w:hAnsi="Traditional Arabic" w:cs="Traditional Arabic"/>
          <w:rtl/>
          <w:lang w:bidi="ar-LB"/>
        </w:rPr>
      </w:pPr>
      <w:r w:rsidRPr="00CB0D7D">
        <w:rPr>
          <w:rStyle w:val="FootnoteReference"/>
          <w:rFonts w:ascii="Traditional Arabic" w:hAnsi="Traditional Arabic" w:cs="Traditional Arabic"/>
        </w:rPr>
        <w:footnoteRef/>
      </w:r>
      <w:r w:rsidRPr="00CB0D7D">
        <w:rPr>
          <w:rFonts w:ascii="Traditional Arabic" w:hAnsi="Traditional Arabic" w:cs="Traditional Arabic"/>
        </w:rPr>
        <w:t xml:space="preserve"> </w:t>
      </w:r>
      <w:r w:rsidRPr="00CB0D7D">
        <w:rPr>
          <w:rFonts w:ascii="Traditional Arabic" w:hAnsi="Traditional Arabic" w:cs="Traditional Arabic"/>
          <w:rtl/>
          <w:lang w:bidi="ar-LB"/>
        </w:rPr>
        <w:t xml:space="preserve"> </w:t>
      </w:r>
      <w:r w:rsidRPr="000C41AE">
        <w:rPr>
          <w:rFonts w:ascii="Traditional Arabic" w:eastAsia="Times New Roman" w:hAnsi="Traditional Arabic" w:cs="Traditional Arabic"/>
          <w:rtl/>
        </w:rPr>
        <w:t xml:space="preserve">التوصية </w:t>
      </w:r>
      <w:r w:rsidRPr="000C41AE">
        <w:rPr>
          <w:rFonts w:ascii="Traditional Arabic" w:eastAsia="Times New Roman" w:hAnsi="Traditional Arabic" w:cs="Traditional Arabic"/>
          <w:rtl/>
        </w:rPr>
        <w:t>7</w:t>
      </w:r>
    </w:p>
  </w:footnote>
  <w:footnote w:id="8">
    <w:p w:rsidR="00B0222A" w:rsidRPr="00CB0D7D" w:rsidRDefault="00B0222A" w:rsidP="00953343">
      <w:pPr>
        <w:pStyle w:val="FootnoteText"/>
        <w:bidi/>
        <w:ind w:left="180" w:right="180"/>
        <w:contextualSpacing/>
        <w:rPr>
          <w:rFonts w:ascii="Traditional Arabic" w:hAnsi="Traditional Arabic" w:cs="Traditional Arabic"/>
          <w:rtl/>
          <w:lang w:bidi="ar-LB"/>
        </w:rPr>
      </w:pPr>
      <w:r w:rsidRPr="00CB0D7D">
        <w:rPr>
          <w:rStyle w:val="FootnoteReference"/>
          <w:rFonts w:ascii="Traditional Arabic" w:hAnsi="Traditional Arabic" w:cs="Traditional Arabic"/>
        </w:rPr>
        <w:footnoteRef/>
      </w:r>
      <w:r w:rsidRPr="00CB0D7D">
        <w:rPr>
          <w:rFonts w:ascii="Traditional Arabic" w:hAnsi="Traditional Arabic" w:cs="Traditional Arabic"/>
        </w:rPr>
        <w:t xml:space="preserve"> </w:t>
      </w:r>
      <w:r w:rsidRPr="00CB0D7D">
        <w:rPr>
          <w:rFonts w:ascii="Traditional Arabic" w:hAnsi="Traditional Arabic" w:cs="Traditional Arabic"/>
          <w:rtl/>
          <w:lang w:bidi="ar-LB"/>
        </w:rPr>
        <w:t xml:space="preserve"> </w:t>
      </w:r>
      <w:r w:rsidRPr="000C41AE">
        <w:rPr>
          <w:rFonts w:ascii="Traditional Arabic" w:eastAsia="Times New Roman" w:hAnsi="Traditional Arabic" w:cs="Traditional Arabic"/>
          <w:rtl/>
        </w:rPr>
        <w:t xml:space="preserve">مجموعة </w:t>
      </w:r>
      <w:r w:rsidRPr="000C41AE">
        <w:rPr>
          <w:rFonts w:ascii="Traditional Arabic" w:eastAsia="Times New Roman" w:hAnsi="Traditional Arabic" w:cs="Traditional Arabic"/>
          <w:rtl/>
        </w:rPr>
        <w:t>قوانين الكنائس الشرقية، ق 1362؛ 1381</w:t>
      </w:r>
    </w:p>
  </w:footnote>
  <w:footnote w:id="9">
    <w:p w:rsidR="00B0222A" w:rsidRPr="00CB0D7D" w:rsidRDefault="00B0222A" w:rsidP="00953343">
      <w:pPr>
        <w:pStyle w:val="FootnoteText"/>
        <w:bidi/>
        <w:ind w:left="180" w:right="180"/>
        <w:contextualSpacing/>
        <w:rPr>
          <w:rFonts w:ascii="Traditional Arabic" w:hAnsi="Traditional Arabic" w:cs="Traditional Arabic"/>
          <w:rtl/>
          <w:lang w:bidi="ar-LB"/>
        </w:rPr>
      </w:pPr>
      <w:r w:rsidRPr="00CB0D7D">
        <w:rPr>
          <w:rStyle w:val="FootnoteReference"/>
          <w:rFonts w:ascii="Traditional Arabic" w:hAnsi="Traditional Arabic" w:cs="Traditional Arabic"/>
        </w:rPr>
        <w:footnoteRef/>
      </w:r>
      <w:r w:rsidRPr="00CB0D7D">
        <w:rPr>
          <w:rFonts w:ascii="Traditional Arabic" w:hAnsi="Traditional Arabic" w:cs="Traditional Arabic"/>
        </w:rPr>
        <w:t xml:space="preserve"> </w:t>
      </w:r>
      <w:r w:rsidRPr="00CB0D7D">
        <w:rPr>
          <w:rFonts w:ascii="Traditional Arabic" w:hAnsi="Traditional Arabic" w:cs="Traditional Arabic"/>
          <w:rtl/>
          <w:lang w:bidi="ar-LB"/>
        </w:rPr>
        <w:t xml:space="preserve"> </w:t>
      </w:r>
      <w:r w:rsidRPr="000C41AE">
        <w:rPr>
          <w:rFonts w:ascii="Traditional Arabic" w:eastAsia="Times New Roman" w:hAnsi="Traditional Arabic" w:cs="Traditional Arabic"/>
          <w:rtl/>
        </w:rPr>
        <w:t xml:space="preserve">المرجع </w:t>
      </w:r>
      <w:r w:rsidRPr="000C41AE">
        <w:rPr>
          <w:rFonts w:ascii="Traditional Arabic" w:eastAsia="Times New Roman" w:hAnsi="Traditional Arabic" w:cs="Traditional Arabic"/>
          <w:rtl/>
        </w:rPr>
        <w:t>نفسه، ق 1062</w:t>
      </w:r>
    </w:p>
  </w:footnote>
  <w:footnote w:id="10">
    <w:p w:rsidR="00B0222A" w:rsidRPr="00CB0D7D" w:rsidRDefault="00B0222A" w:rsidP="00953343">
      <w:pPr>
        <w:pStyle w:val="FootnoteText"/>
        <w:bidi/>
        <w:ind w:left="180" w:right="180"/>
        <w:contextualSpacing/>
        <w:rPr>
          <w:rFonts w:ascii="Traditional Arabic" w:hAnsi="Traditional Arabic" w:cs="Traditional Arabic"/>
          <w:rtl/>
          <w:lang w:bidi="ar-LB"/>
        </w:rPr>
      </w:pPr>
      <w:r w:rsidRPr="00CB0D7D">
        <w:rPr>
          <w:rStyle w:val="FootnoteReference"/>
          <w:rFonts w:ascii="Traditional Arabic" w:hAnsi="Traditional Arabic" w:cs="Traditional Arabic"/>
        </w:rPr>
        <w:footnoteRef/>
      </w:r>
      <w:r w:rsidRPr="00CB0D7D">
        <w:rPr>
          <w:rFonts w:ascii="Traditional Arabic" w:hAnsi="Traditional Arabic" w:cs="Traditional Arabic"/>
        </w:rPr>
        <w:t xml:space="preserve"> </w:t>
      </w:r>
      <w:r w:rsidRPr="00CB0D7D">
        <w:rPr>
          <w:rFonts w:ascii="Traditional Arabic" w:hAnsi="Traditional Arabic" w:cs="Traditional Arabic"/>
          <w:rtl/>
          <w:lang w:bidi="ar-LB"/>
        </w:rPr>
        <w:t xml:space="preserve"> </w:t>
      </w:r>
      <w:r w:rsidRPr="000C41AE">
        <w:rPr>
          <w:rFonts w:ascii="Traditional Arabic" w:eastAsia="Times New Roman" w:hAnsi="Traditional Arabic" w:cs="Traditional Arabic"/>
          <w:rtl/>
        </w:rPr>
        <w:t xml:space="preserve">التوصية </w:t>
      </w:r>
      <w:r w:rsidRPr="000C41AE">
        <w:rPr>
          <w:rFonts w:ascii="Traditional Arabic" w:eastAsia="Times New Roman" w:hAnsi="Traditional Arabic" w:cs="Traditional Arabic"/>
          <w:rtl/>
        </w:rPr>
        <w:t>21</w:t>
      </w:r>
    </w:p>
  </w:footnote>
  <w:footnote w:id="11">
    <w:p w:rsidR="00B0222A" w:rsidRPr="00CB0D7D" w:rsidRDefault="00B0222A" w:rsidP="00953343">
      <w:pPr>
        <w:pStyle w:val="FootnoteText"/>
        <w:bidi/>
        <w:ind w:left="180" w:right="180"/>
        <w:contextualSpacing/>
        <w:rPr>
          <w:rFonts w:ascii="Traditional Arabic" w:hAnsi="Traditional Arabic" w:cs="Traditional Arabic"/>
          <w:rtl/>
        </w:rPr>
      </w:pPr>
      <w:r w:rsidRPr="00CB0D7D">
        <w:rPr>
          <w:rStyle w:val="FootnoteReference"/>
          <w:rFonts w:ascii="Traditional Arabic" w:hAnsi="Traditional Arabic" w:cs="Traditional Arabic"/>
        </w:rPr>
        <w:footnoteRef/>
      </w:r>
      <w:r w:rsidRPr="00CB0D7D">
        <w:rPr>
          <w:rFonts w:ascii="Traditional Arabic" w:hAnsi="Traditional Arabic" w:cs="Traditional Arabic"/>
        </w:rPr>
        <w:t xml:space="preserve"> </w:t>
      </w:r>
      <w:r w:rsidRPr="00CB0D7D">
        <w:rPr>
          <w:rFonts w:ascii="Traditional Arabic" w:hAnsi="Traditional Arabic" w:cs="Traditional Arabic"/>
          <w:rtl/>
          <w:lang w:bidi="ar-LB"/>
        </w:rPr>
        <w:t xml:space="preserve"> </w:t>
      </w:r>
      <w:r w:rsidRPr="00B0222A">
        <w:rPr>
          <w:rFonts w:ascii="Traditional Arabic" w:eastAsia="Times New Roman" w:hAnsi="Traditional Arabic" w:cs="Traditional Arabic"/>
          <w:rtl/>
        </w:rPr>
        <w:t xml:space="preserve">المجمع </w:t>
      </w:r>
      <w:r w:rsidRPr="00B06551">
        <w:rPr>
          <w:rFonts w:ascii="Traditional Arabic" w:eastAsia="Times New Roman" w:hAnsi="Traditional Arabic" w:cs="Traditional Arabic"/>
          <w:rtl/>
        </w:rPr>
        <w:t>الفاتيكاني الثاني، رسالة إلى النساء (8 / 12 / 1965)؛ دستور رعوي، فرح ورجاء، الفقرة 29؛ يوحنا بولس الثاني، رسالة إلى النساء، الفقرة 3: ت. ك 92 (1995)،</w:t>
      </w:r>
      <w:r w:rsidRPr="00B0222A">
        <w:rPr>
          <w:rFonts w:ascii="Traditional Arabic" w:eastAsia="Times New Roman" w:hAnsi="Traditional Arabic" w:cs="Traditional Arabic"/>
          <w:rtl/>
        </w:rPr>
        <w:t xml:space="preserve"> ص 718؛ القديس باسيليوس الكبير، عظة من المزمور 1، 3: الآباء اليونان 29، 214 – 218</w:t>
      </w:r>
    </w:p>
  </w:footnote>
  <w:footnote w:id="12">
    <w:p w:rsidR="007703BC" w:rsidRPr="00CB0D7D" w:rsidRDefault="007703BC" w:rsidP="00953343">
      <w:pPr>
        <w:pStyle w:val="FootnoteText"/>
        <w:bidi/>
        <w:ind w:left="180" w:right="180"/>
        <w:contextualSpacing/>
        <w:rPr>
          <w:rFonts w:ascii="Traditional Arabic" w:hAnsi="Traditional Arabic" w:cs="Traditional Arabic"/>
          <w:rtl/>
        </w:rPr>
      </w:pPr>
      <w:r w:rsidRPr="00CB0D7D">
        <w:rPr>
          <w:rStyle w:val="FootnoteReference"/>
          <w:rFonts w:ascii="Traditional Arabic" w:hAnsi="Traditional Arabic" w:cs="Traditional Arabic"/>
        </w:rPr>
        <w:footnoteRef/>
      </w:r>
      <w:r w:rsidRPr="00CB0D7D">
        <w:rPr>
          <w:rFonts w:ascii="Traditional Arabic" w:hAnsi="Traditional Arabic" w:cs="Traditional Arabic"/>
        </w:rPr>
        <w:t xml:space="preserve"> </w:t>
      </w:r>
      <w:r w:rsidRPr="00CB0D7D">
        <w:rPr>
          <w:rFonts w:ascii="Traditional Arabic" w:hAnsi="Traditional Arabic" w:cs="Traditional Arabic"/>
          <w:rtl/>
          <w:lang w:bidi="ar-LB"/>
        </w:rPr>
        <w:t xml:space="preserve"> </w:t>
      </w:r>
      <w:r w:rsidRPr="00B0222A">
        <w:rPr>
          <w:rFonts w:ascii="Traditional Arabic" w:eastAsia="Times New Roman" w:hAnsi="Traditional Arabic" w:cs="Traditional Arabic"/>
          <w:rtl/>
        </w:rPr>
        <w:t xml:space="preserve">الكاثوليكوس </w:t>
      </w:r>
      <w:r w:rsidRPr="00B0222A">
        <w:rPr>
          <w:rFonts w:ascii="Traditional Arabic" w:eastAsia="Times New Roman" w:hAnsi="Traditional Arabic" w:cs="Traditional Arabic"/>
          <w:rtl/>
        </w:rPr>
        <w:t>اسحق الثالث، مدائح وترانيم تكريماً للعذراء مريم، مقتطفة من السواعية الأرمنية، البندقية (1877)، ص 89</w:t>
      </w:r>
    </w:p>
  </w:footnote>
  <w:footnote w:id="13">
    <w:p w:rsidR="007703BC" w:rsidRPr="00CB0D7D" w:rsidRDefault="007703BC" w:rsidP="00953343">
      <w:pPr>
        <w:pStyle w:val="FootnoteText"/>
        <w:bidi/>
        <w:ind w:left="180" w:right="180"/>
        <w:contextualSpacing/>
        <w:rPr>
          <w:rFonts w:ascii="Traditional Arabic" w:hAnsi="Traditional Arabic" w:cs="Traditional Arabic"/>
          <w:rtl/>
        </w:rPr>
      </w:pPr>
      <w:r w:rsidRPr="00CB0D7D">
        <w:rPr>
          <w:rStyle w:val="FootnoteReference"/>
          <w:rFonts w:ascii="Traditional Arabic" w:hAnsi="Traditional Arabic" w:cs="Traditional Arabic"/>
        </w:rPr>
        <w:footnoteRef/>
      </w:r>
      <w:r w:rsidRPr="00CB0D7D">
        <w:rPr>
          <w:rFonts w:ascii="Traditional Arabic" w:hAnsi="Traditional Arabic" w:cs="Traditional Arabic"/>
        </w:rPr>
        <w:t xml:space="preserve"> </w:t>
      </w:r>
      <w:r w:rsidRPr="00CB0D7D">
        <w:rPr>
          <w:rFonts w:ascii="Traditional Arabic" w:hAnsi="Traditional Arabic" w:cs="Traditional Arabic"/>
          <w:rtl/>
          <w:lang w:bidi="ar-LB"/>
        </w:rPr>
        <w:t xml:space="preserve"> </w:t>
      </w:r>
      <w:r w:rsidRPr="00B0222A">
        <w:rPr>
          <w:rFonts w:ascii="Traditional Arabic" w:eastAsia="Times New Roman" w:hAnsi="Traditional Arabic" w:cs="Traditional Arabic"/>
          <w:rtl/>
        </w:rPr>
        <w:t xml:space="preserve">القديس </w:t>
      </w:r>
      <w:r w:rsidRPr="00B0222A">
        <w:rPr>
          <w:rFonts w:ascii="Traditional Arabic" w:eastAsia="Times New Roman" w:hAnsi="Traditional Arabic" w:cs="Traditional Arabic"/>
          <w:rtl/>
        </w:rPr>
        <w:t>يوحنا الدمشقي، في الإيمان القويم، 3، 2: الآباء اليونان 94، 983 – 988؛ القديس غريغوريوس الناركي، الصلاة الثمانون: المصادر المسيحية 78، باريس، (1961)، ص 428 – 431؛ اغاتانجلو، صلاة غريغوريوس المنور، نصوص مريمية من الألف الأول، روما (1991)، ص 552، ترنيمة ليترجية لشهر كيناك في الليترجيا القبطية: 1 الأقباط، منشورات المكتبة الفاتيكانية، (1994)، ص 165 – 166</w:t>
      </w:r>
    </w:p>
  </w:footnote>
  <w:footnote w:id="14">
    <w:p w:rsidR="007703BC" w:rsidRPr="00CB0D7D" w:rsidRDefault="007703BC" w:rsidP="00953343">
      <w:pPr>
        <w:pStyle w:val="FootnoteText"/>
        <w:bidi/>
        <w:ind w:left="180" w:right="180"/>
        <w:contextualSpacing/>
        <w:rPr>
          <w:rFonts w:ascii="Traditional Arabic" w:hAnsi="Traditional Arabic" w:cs="Traditional Arabic"/>
          <w:rtl/>
        </w:rPr>
      </w:pPr>
      <w:r w:rsidRPr="00CB0D7D">
        <w:rPr>
          <w:rStyle w:val="FootnoteReference"/>
          <w:rFonts w:ascii="Traditional Arabic" w:hAnsi="Traditional Arabic" w:cs="Traditional Arabic"/>
        </w:rPr>
        <w:footnoteRef/>
      </w:r>
      <w:r w:rsidRPr="00CB0D7D">
        <w:rPr>
          <w:rFonts w:ascii="Traditional Arabic" w:hAnsi="Traditional Arabic" w:cs="Traditional Arabic"/>
        </w:rPr>
        <w:t xml:space="preserve"> </w:t>
      </w:r>
      <w:r w:rsidRPr="00CB0D7D">
        <w:rPr>
          <w:rFonts w:ascii="Traditional Arabic" w:hAnsi="Traditional Arabic" w:cs="Traditional Arabic"/>
          <w:rtl/>
          <w:lang w:bidi="ar-LB"/>
        </w:rPr>
        <w:t xml:space="preserve"> </w:t>
      </w:r>
      <w:r w:rsidRPr="00B0222A">
        <w:rPr>
          <w:rFonts w:ascii="Traditional Arabic" w:eastAsia="Times New Roman" w:hAnsi="Traditional Arabic" w:cs="Traditional Arabic"/>
          <w:rtl/>
        </w:rPr>
        <w:t xml:space="preserve">يوحنا </w:t>
      </w:r>
      <w:r w:rsidRPr="00B0222A">
        <w:rPr>
          <w:rFonts w:ascii="Traditional Arabic" w:eastAsia="Times New Roman" w:hAnsi="Traditional Arabic" w:cs="Traditional Arabic"/>
          <w:rtl/>
        </w:rPr>
        <w:t xml:space="preserve">بولس الثاني، رسالة رسولية في كرامة المرأة، </w:t>
      </w:r>
      <w:r w:rsidRPr="00B06551">
        <w:rPr>
          <w:rFonts w:ascii="Traditional Arabic" w:eastAsia="Times New Roman" w:hAnsi="Traditional Arabic" w:cs="Traditional Arabic"/>
          <w:rtl/>
        </w:rPr>
        <w:t xml:space="preserve">الفقرة 30: </w:t>
      </w:r>
      <w:r w:rsidRPr="00B0222A">
        <w:rPr>
          <w:rFonts w:ascii="Traditional Arabic" w:eastAsia="Times New Roman" w:hAnsi="Traditional Arabic" w:cs="Traditional Arabic"/>
          <w:rtl/>
        </w:rPr>
        <w:t>أ. ك. ر 80 (1988)، ص 1725</w:t>
      </w:r>
    </w:p>
  </w:footnote>
  <w:footnote w:id="15">
    <w:p w:rsidR="007703BC" w:rsidRPr="00CB0D7D" w:rsidRDefault="007703BC" w:rsidP="00953343">
      <w:pPr>
        <w:pStyle w:val="FootnoteText"/>
        <w:bidi/>
        <w:ind w:left="180" w:right="180"/>
        <w:contextualSpacing/>
        <w:rPr>
          <w:rFonts w:ascii="Traditional Arabic" w:hAnsi="Traditional Arabic" w:cs="Traditional Arabic"/>
          <w:rtl/>
        </w:rPr>
      </w:pPr>
      <w:r w:rsidRPr="00CB0D7D">
        <w:rPr>
          <w:rStyle w:val="FootnoteReference"/>
          <w:rFonts w:ascii="Traditional Arabic" w:hAnsi="Traditional Arabic" w:cs="Traditional Arabic"/>
        </w:rPr>
        <w:footnoteRef/>
      </w:r>
      <w:r w:rsidRPr="00CB0D7D">
        <w:rPr>
          <w:rFonts w:ascii="Traditional Arabic" w:hAnsi="Traditional Arabic" w:cs="Traditional Arabic"/>
        </w:rPr>
        <w:t xml:space="preserve"> </w:t>
      </w:r>
      <w:r w:rsidRPr="00CB0D7D">
        <w:rPr>
          <w:rFonts w:ascii="Traditional Arabic" w:hAnsi="Traditional Arabic" w:cs="Traditional Arabic"/>
          <w:rtl/>
          <w:lang w:bidi="ar-LB"/>
        </w:rPr>
        <w:t xml:space="preserve"> </w:t>
      </w:r>
      <w:r w:rsidRPr="00B0222A">
        <w:rPr>
          <w:rFonts w:ascii="Traditional Arabic" w:eastAsia="Times New Roman" w:hAnsi="Traditional Arabic" w:cs="Traditional Arabic"/>
          <w:rtl/>
        </w:rPr>
        <w:t xml:space="preserve">يوحنا </w:t>
      </w:r>
      <w:r w:rsidRPr="00B0222A">
        <w:rPr>
          <w:rFonts w:ascii="Traditional Arabic" w:eastAsia="Times New Roman" w:hAnsi="Traditional Arabic" w:cs="Traditional Arabic"/>
          <w:rtl/>
        </w:rPr>
        <w:t xml:space="preserve">بولس الثاني، رسالة إلى الكهنة في مناسبة خميس الأسرار المقدس 1995، </w:t>
      </w:r>
      <w:r w:rsidRPr="00B06551">
        <w:rPr>
          <w:rFonts w:ascii="Traditional Arabic" w:eastAsia="Times New Roman" w:hAnsi="Traditional Arabic" w:cs="Traditional Arabic"/>
          <w:rtl/>
        </w:rPr>
        <w:t>الفقرة 6:</w:t>
      </w:r>
      <w:r w:rsidRPr="00B0222A">
        <w:rPr>
          <w:rFonts w:ascii="Traditional Arabic" w:eastAsia="Times New Roman" w:hAnsi="Traditional Arabic" w:cs="Traditional Arabic"/>
          <w:rtl/>
        </w:rPr>
        <w:t xml:space="preserve"> أ. ك. ر 87 (1995)، ص 801 – 802</w:t>
      </w:r>
    </w:p>
  </w:footnote>
  <w:footnote w:id="16">
    <w:p w:rsidR="007703BC" w:rsidRPr="00CB0D7D" w:rsidRDefault="007703BC" w:rsidP="00953343">
      <w:pPr>
        <w:pStyle w:val="FootnoteText"/>
        <w:bidi/>
        <w:ind w:left="180" w:right="180"/>
        <w:contextualSpacing/>
        <w:rPr>
          <w:rFonts w:ascii="Traditional Arabic" w:hAnsi="Traditional Arabic" w:cs="Traditional Arabic"/>
          <w:rtl/>
        </w:rPr>
      </w:pPr>
      <w:r w:rsidRPr="00CB0D7D">
        <w:rPr>
          <w:rStyle w:val="FootnoteReference"/>
          <w:rFonts w:ascii="Traditional Arabic" w:hAnsi="Traditional Arabic" w:cs="Traditional Arabic"/>
        </w:rPr>
        <w:footnoteRef/>
      </w:r>
      <w:r w:rsidRPr="00CB0D7D">
        <w:rPr>
          <w:rFonts w:ascii="Traditional Arabic" w:hAnsi="Traditional Arabic" w:cs="Traditional Arabic"/>
        </w:rPr>
        <w:t xml:space="preserve"> </w:t>
      </w:r>
      <w:r w:rsidRPr="00CB0D7D">
        <w:rPr>
          <w:rFonts w:ascii="Traditional Arabic" w:hAnsi="Traditional Arabic" w:cs="Traditional Arabic"/>
          <w:rtl/>
          <w:lang w:bidi="ar-LB"/>
        </w:rPr>
        <w:t xml:space="preserve"> </w:t>
      </w:r>
      <w:r w:rsidRPr="00B0222A">
        <w:rPr>
          <w:rFonts w:ascii="Traditional Arabic" w:eastAsia="Times New Roman" w:hAnsi="Traditional Arabic" w:cs="Traditional Arabic"/>
          <w:rtl/>
        </w:rPr>
        <w:t xml:space="preserve">يوحنا </w:t>
      </w:r>
      <w:r w:rsidRPr="00B0222A">
        <w:rPr>
          <w:rFonts w:ascii="Traditional Arabic" w:eastAsia="Times New Roman" w:hAnsi="Traditional Arabic" w:cs="Traditional Arabic"/>
          <w:rtl/>
        </w:rPr>
        <w:t>بولس الثاني، إرشاد رسولي، في وظائف العائلة المسيحية،</w:t>
      </w:r>
      <w:r w:rsidRPr="00CB0D7D">
        <w:rPr>
          <w:rFonts w:ascii="Traditional Arabic" w:eastAsia="Times New Roman" w:hAnsi="Traditional Arabic" w:cs="Traditional Arabic"/>
          <w:color w:val="0000FF"/>
          <w:rtl/>
        </w:rPr>
        <w:t xml:space="preserve"> </w:t>
      </w:r>
      <w:r w:rsidRPr="00B06551">
        <w:rPr>
          <w:rFonts w:ascii="Traditional Arabic" w:eastAsia="Times New Roman" w:hAnsi="Traditional Arabic" w:cs="Traditional Arabic"/>
          <w:rtl/>
        </w:rPr>
        <w:t>الفقرة 37:</w:t>
      </w:r>
      <w:r w:rsidRPr="00B0222A">
        <w:rPr>
          <w:rFonts w:ascii="Traditional Arabic" w:eastAsia="Times New Roman" w:hAnsi="Traditional Arabic" w:cs="Traditional Arabic"/>
          <w:rtl/>
        </w:rPr>
        <w:t xml:space="preserve"> أ. ك. ر 74 (1982)، ص 127 – 129</w:t>
      </w:r>
    </w:p>
  </w:footnote>
  <w:footnote w:id="17">
    <w:p w:rsidR="007703BC" w:rsidRPr="00CB0D7D" w:rsidRDefault="007703BC" w:rsidP="00953343">
      <w:pPr>
        <w:pStyle w:val="FootnoteText"/>
        <w:bidi/>
        <w:ind w:left="180" w:right="180"/>
        <w:contextualSpacing/>
        <w:rPr>
          <w:rFonts w:ascii="Traditional Arabic" w:hAnsi="Traditional Arabic" w:cs="Traditional Arabic"/>
          <w:rtl/>
        </w:rPr>
      </w:pPr>
      <w:r w:rsidRPr="00CB0D7D">
        <w:rPr>
          <w:rStyle w:val="FootnoteReference"/>
          <w:rFonts w:ascii="Traditional Arabic" w:hAnsi="Traditional Arabic" w:cs="Traditional Arabic"/>
        </w:rPr>
        <w:footnoteRef/>
      </w:r>
      <w:r w:rsidRPr="00CB0D7D">
        <w:rPr>
          <w:rFonts w:ascii="Traditional Arabic" w:hAnsi="Traditional Arabic" w:cs="Traditional Arabic"/>
        </w:rPr>
        <w:t xml:space="preserve"> </w:t>
      </w:r>
      <w:r w:rsidRPr="00CB0D7D">
        <w:rPr>
          <w:rFonts w:ascii="Traditional Arabic" w:hAnsi="Traditional Arabic" w:cs="Traditional Arabic"/>
          <w:rtl/>
          <w:lang w:bidi="ar-LB"/>
        </w:rPr>
        <w:t xml:space="preserve"> </w:t>
      </w:r>
      <w:r w:rsidRPr="00B0222A">
        <w:rPr>
          <w:rFonts w:ascii="Traditional Arabic" w:eastAsia="Times New Roman" w:hAnsi="Traditional Arabic" w:cs="Traditional Arabic"/>
          <w:rtl/>
        </w:rPr>
        <w:t xml:space="preserve">القديس </w:t>
      </w:r>
      <w:r w:rsidRPr="00B0222A">
        <w:rPr>
          <w:rFonts w:ascii="Traditional Arabic" w:eastAsia="Times New Roman" w:hAnsi="Traditional Arabic" w:cs="Traditional Arabic"/>
          <w:rtl/>
        </w:rPr>
        <w:t>يوحنا الذهبي الفم، في تربية الأولاد، الفقرة 25 : المصادر المسيحية 188، باريس (1972)، ص 113</w:t>
      </w:r>
    </w:p>
  </w:footnote>
  <w:footnote w:id="18">
    <w:p w:rsidR="007703BC" w:rsidRPr="00CB0D7D" w:rsidRDefault="007703BC" w:rsidP="00953343">
      <w:pPr>
        <w:bidi/>
        <w:spacing w:after="0" w:line="240" w:lineRule="auto"/>
        <w:ind w:left="180" w:right="180"/>
        <w:contextualSpacing/>
        <w:rPr>
          <w:rFonts w:ascii="Traditional Arabic" w:hAnsi="Traditional Arabic" w:cs="Traditional Arabic"/>
          <w:sz w:val="20"/>
          <w:szCs w:val="20"/>
          <w:rtl/>
        </w:rPr>
      </w:pPr>
      <w:r w:rsidRPr="00CB0D7D">
        <w:rPr>
          <w:rStyle w:val="FootnoteReference"/>
          <w:rFonts w:ascii="Traditional Arabic" w:hAnsi="Traditional Arabic" w:cs="Traditional Arabic"/>
          <w:sz w:val="20"/>
          <w:szCs w:val="20"/>
        </w:rPr>
        <w:footnoteRef/>
      </w:r>
      <w:r w:rsidRPr="00CB0D7D">
        <w:rPr>
          <w:rFonts w:ascii="Traditional Arabic" w:hAnsi="Traditional Arabic" w:cs="Traditional Arabic"/>
          <w:sz w:val="20"/>
          <w:szCs w:val="20"/>
        </w:rPr>
        <w:t xml:space="preserve"> </w:t>
      </w:r>
      <w:r w:rsidRPr="00CB0D7D">
        <w:rPr>
          <w:rFonts w:ascii="Traditional Arabic" w:hAnsi="Traditional Arabic" w:cs="Traditional Arabic"/>
          <w:sz w:val="20"/>
          <w:szCs w:val="20"/>
          <w:rtl/>
          <w:lang w:bidi="ar-LB"/>
        </w:rPr>
        <w:t xml:space="preserve"> </w:t>
      </w:r>
      <w:r w:rsidRPr="00B0222A">
        <w:rPr>
          <w:rFonts w:ascii="Traditional Arabic" w:eastAsia="Times New Roman" w:hAnsi="Traditional Arabic" w:cs="Traditional Arabic"/>
          <w:sz w:val="20"/>
          <w:szCs w:val="20"/>
          <w:rtl/>
        </w:rPr>
        <w:t xml:space="preserve">رسالة </w:t>
      </w:r>
      <w:r w:rsidRPr="00B0222A">
        <w:rPr>
          <w:rFonts w:ascii="Traditional Arabic" w:eastAsia="Times New Roman" w:hAnsi="Traditional Arabic" w:cs="Traditional Arabic"/>
          <w:sz w:val="20"/>
          <w:szCs w:val="20"/>
          <w:rtl/>
        </w:rPr>
        <w:t>في مناسبة اليوم العالمي للسلام 1995، الفقرة 2: أ. ك. ر 87 (1995)، ص 360</w:t>
      </w:r>
    </w:p>
  </w:footnote>
  <w:footnote w:id="19">
    <w:p w:rsidR="00CB0D7D" w:rsidRPr="00CB0D7D" w:rsidRDefault="00CB0D7D" w:rsidP="00953343">
      <w:pPr>
        <w:pStyle w:val="FootnoteText"/>
        <w:bidi/>
        <w:ind w:left="180" w:right="180"/>
        <w:contextualSpacing/>
        <w:rPr>
          <w:rFonts w:ascii="Traditional Arabic" w:hAnsi="Traditional Arabic" w:cs="Traditional Arabic"/>
          <w:rtl/>
          <w:lang w:bidi="ar-LB"/>
        </w:rPr>
      </w:pPr>
      <w:r w:rsidRPr="00CB0D7D">
        <w:rPr>
          <w:rStyle w:val="FootnoteReference"/>
          <w:rFonts w:ascii="Traditional Arabic" w:hAnsi="Traditional Arabic" w:cs="Traditional Arabic"/>
        </w:rPr>
        <w:footnoteRef/>
      </w:r>
      <w:r w:rsidRPr="00CB0D7D">
        <w:rPr>
          <w:rFonts w:ascii="Traditional Arabic" w:hAnsi="Traditional Arabic" w:cs="Traditional Arabic"/>
        </w:rPr>
        <w:t xml:space="preserve"> </w:t>
      </w:r>
      <w:r w:rsidRPr="00CB0D7D">
        <w:rPr>
          <w:rFonts w:ascii="Traditional Arabic" w:hAnsi="Traditional Arabic" w:cs="Traditional Arabic"/>
          <w:rtl/>
          <w:lang w:bidi="ar-LB"/>
        </w:rPr>
        <w:t xml:space="preserve"> </w:t>
      </w:r>
      <w:r w:rsidRPr="00CB0D7D">
        <w:rPr>
          <w:rFonts w:ascii="Traditional Arabic" w:eastAsia="Times New Roman" w:hAnsi="Traditional Arabic" w:cs="Traditional Arabic"/>
          <w:rtl/>
        </w:rPr>
        <w:t xml:space="preserve">سينودس </w:t>
      </w:r>
      <w:r w:rsidRPr="00CB0D7D">
        <w:rPr>
          <w:rFonts w:ascii="Traditional Arabic" w:eastAsia="Times New Roman" w:hAnsi="Traditional Arabic" w:cs="Traditional Arabic"/>
          <w:rtl/>
        </w:rPr>
        <w:t>الأساقفة الخاص بلبنان، تقرير ما بعد المناقشة، الفقرة 8</w:t>
      </w:r>
    </w:p>
  </w:footnote>
  <w:footnote w:id="20">
    <w:p w:rsidR="00CB0D7D" w:rsidRPr="00CB0D7D" w:rsidRDefault="00CB0D7D" w:rsidP="00953343">
      <w:pPr>
        <w:pStyle w:val="FootnoteText"/>
        <w:bidi/>
        <w:ind w:left="180" w:right="180"/>
        <w:contextualSpacing/>
        <w:rPr>
          <w:rFonts w:ascii="Traditional Arabic" w:hAnsi="Traditional Arabic" w:cs="Traditional Arabic"/>
          <w:rtl/>
          <w:lang w:bidi="ar-LB"/>
        </w:rPr>
      </w:pPr>
      <w:r w:rsidRPr="00CB0D7D">
        <w:rPr>
          <w:rStyle w:val="FootnoteReference"/>
          <w:rFonts w:ascii="Traditional Arabic" w:hAnsi="Traditional Arabic" w:cs="Traditional Arabic"/>
        </w:rPr>
        <w:footnoteRef/>
      </w:r>
      <w:r w:rsidRPr="00CB0D7D">
        <w:rPr>
          <w:rFonts w:ascii="Traditional Arabic" w:hAnsi="Traditional Arabic" w:cs="Traditional Arabic"/>
        </w:rPr>
        <w:t xml:space="preserve"> </w:t>
      </w:r>
      <w:r w:rsidRPr="00CB0D7D">
        <w:rPr>
          <w:rFonts w:ascii="Traditional Arabic" w:hAnsi="Traditional Arabic" w:cs="Traditional Arabic"/>
          <w:rtl/>
          <w:lang w:bidi="ar-LB"/>
        </w:rPr>
        <w:t xml:space="preserve"> </w:t>
      </w:r>
      <w:r w:rsidRPr="00CB0D7D">
        <w:rPr>
          <w:rFonts w:ascii="Traditional Arabic" w:eastAsia="Times New Roman" w:hAnsi="Traditional Arabic" w:cs="Traditional Arabic"/>
          <w:rtl/>
        </w:rPr>
        <w:t xml:space="preserve">التوصية </w:t>
      </w:r>
      <w:r w:rsidRPr="00CB0D7D">
        <w:rPr>
          <w:rFonts w:ascii="Traditional Arabic" w:eastAsia="Times New Roman" w:hAnsi="Traditional Arabic" w:cs="Traditional Arabic"/>
          <w:rtl/>
        </w:rPr>
        <w:t>10</w:t>
      </w:r>
    </w:p>
  </w:footnote>
  <w:footnote w:id="21">
    <w:p w:rsidR="00CB0D7D" w:rsidRPr="00CB0D7D" w:rsidRDefault="00CB0D7D" w:rsidP="00953343">
      <w:pPr>
        <w:pStyle w:val="FootnoteText"/>
        <w:bidi/>
        <w:ind w:left="180" w:right="180"/>
        <w:contextualSpacing/>
        <w:rPr>
          <w:rFonts w:ascii="Traditional Arabic" w:hAnsi="Traditional Arabic" w:cs="Traditional Arabic"/>
          <w:rtl/>
          <w:lang w:bidi="ar-LB"/>
        </w:rPr>
      </w:pPr>
      <w:r w:rsidRPr="00CB0D7D">
        <w:rPr>
          <w:rStyle w:val="FootnoteReference"/>
          <w:rFonts w:ascii="Traditional Arabic" w:hAnsi="Traditional Arabic" w:cs="Traditional Arabic"/>
        </w:rPr>
        <w:footnoteRef/>
      </w:r>
      <w:r w:rsidRPr="00CB0D7D">
        <w:rPr>
          <w:rFonts w:ascii="Traditional Arabic" w:hAnsi="Traditional Arabic" w:cs="Traditional Arabic"/>
        </w:rPr>
        <w:t xml:space="preserve"> </w:t>
      </w:r>
      <w:r w:rsidRPr="00CB0D7D">
        <w:rPr>
          <w:rFonts w:ascii="Traditional Arabic" w:hAnsi="Traditional Arabic" w:cs="Traditional Arabic"/>
          <w:rtl/>
          <w:lang w:bidi="ar-LB"/>
        </w:rPr>
        <w:t xml:space="preserve"> </w:t>
      </w:r>
      <w:r w:rsidRPr="00CB0D7D">
        <w:rPr>
          <w:rFonts w:ascii="Traditional Arabic" w:hAnsi="Traditional Arabic" w:cs="Traditional Arabic"/>
          <w:rtl/>
          <w:lang w:bidi="ar-LB"/>
        </w:rPr>
        <w:t>المرجع نفسه</w:t>
      </w:r>
      <w:r w:rsidR="00B06551">
        <w:rPr>
          <w:rFonts w:ascii="Traditional Arabic" w:hAnsi="Traditional Arabic" w:cs="Traditional Arabic" w:hint="cs"/>
          <w:rtl/>
          <w:lang w:bidi="ar-LB"/>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44D" w:rsidRDefault="00E844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44D" w:rsidRDefault="00E844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44D" w:rsidRDefault="00E844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0"/>
    <w:footnote w:id="1"/>
  </w:footnotePr>
  <w:endnotePr>
    <w:endnote w:id="0"/>
    <w:endnote w:id="1"/>
  </w:endnotePr>
  <w:compat/>
  <w:rsids>
    <w:rsidRoot w:val="000C41AE"/>
    <w:rsid w:val="00007501"/>
    <w:rsid w:val="000C41AE"/>
    <w:rsid w:val="0019711F"/>
    <w:rsid w:val="00410795"/>
    <w:rsid w:val="004C617E"/>
    <w:rsid w:val="006A450E"/>
    <w:rsid w:val="007703BC"/>
    <w:rsid w:val="00953343"/>
    <w:rsid w:val="009A12F6"/>
    <w:rsid w:val="00AA70B4"/>
    <w:rsid w:val="00AC2C8D"/>
    <w:rsid w:val="00AE61B3"/>
    <w:rsid w:val="00B0222A"/>
    <w:rsid w:val="00B06551"/>
    <w:rsid w:val="00BC2E7C"/>
    <w:rsid w:val="00BD6C0B"/>
    <w:rsid w:val="00C303AB"/>
    <w:rsid w:val="00CB0D7D"/>
    <w:rsid w:val="00CC3DF9"/>
    <w:rsid w:val="00E54C74"/>
    <w:rsid w:val="00E8444D"/>
    <w:rsid w:val="00F10F40"/>
    <w:rsid w:val="00FD187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7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41AE"/>
    <w:rPr>
      <w:color w:val="0000FF"/>
      <w:u w:val="single"/>
    </w:rPr>
  </w:style>
  <w:style w:type="paragraph" w:styleId="FootnoteText">
    <w:name w:val="footnote text"/>
    <w:basedOn w:val="Normal"/>
    <w:link w:val="FootnoteTextChar"/>
    <w:uiPriority w:val="99"/>
    <w:semiHidden/>
    <w:unhideWhenUsed/>
    <w:rsid w:val="00B022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222A"/>
    <w:rPr>
      <w:sz w:val="20"/>
      <w:szCs w:val="20"/>
    </w:rPr>
  </w:style>
  <w:style w:type="character" w:styleId="FootnoteReference">
    <w:name w:val="footnote reference"/>
    <w:basedOn w:val="DefaultParagraphFont"/>
    <w:uiPriority w:val="99"/>
    <w:semiHidden/>
    <w:unhideWhenUsed/>
    <w:rsid w:val="00B0222A"/>
    <w:rPr>
      <w:vertAlign w:val="superscript"/>
    </w:rPr>
  </w:style>
  <w:style w:type="paragraph" w:styleId="Header">
    <w:name w:val="header"/>
    <w:basedOn w:val="Normal"/>
    <w:link w:val="HeaderChar"/>
    <w:uiPriority w:val="99"/>
    <w:semiHidden/>
    <w:unhideWhenUsed/>
    <w:rsid w:val="00E844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444D"/>
  </w:style>
  <w:style w:type="paragraph" w:styleId="Footer">
    <w:name w:val="footer"/>
    <w:basedOn w:val="Normal"/>
    <w:link w:val="FooterChar"/>
    <w:uiPriority w:val="99"/>
    <w:unhideWhenUsed/>
    <w:rsid w:val="00E844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44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98.62.75.1/www1/ofm/1god/documenti/giovanni-paolo-ii/speranza-per-libano/46-49.htm" TargetMode="External"/><Relationship Id="rId13" Type="http://schemas.openxmlformats.org/officeDocument/2006/relationships/hyperlink" Target="http://198.62.75.1/www1/ofm/1god/documenti/giovanni-paolo-ii/speranza-per-libano/51.ht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198.62.75.1/www1/ofm/1god/documenti/giovanni-paolo-ii/speranza-per-libano/46-49.htm" TargetMode="External"/><Relationship Id="rId12" Type="http://schemas.openxmlformats.org/officeDocument/2006/relationships/hyperlink" Target="http://198.62.75.1/www1/ofm/1god/documenti/giovanni-paolo-ii/speranza-per-libano/50.ht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198.62.75.1/www1/ofm/1god/documenti/giovanni-paolo-ii/speranza-per-libano/50.ht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198.62.75.1/www1/ofm/1god/documenti/giovanni-paolo-ii/speranza-per-libano/46-49.ht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198.62.75.1/www1/ofm/1god/documenti/giovanni-paolo-ii/speranza-per-libano/46-49.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92A16-0651-46FD-A31F-4BC2B312F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4</Pages>
  <Words>1331</Words>
  <Characters>7588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xp</Company>
  <LinksUpToDate>false</LinksUpToDate>
  <CharactersWithSpaces>8902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Generalat</dc:creator>
  <cp:lastModifiedBy>Abbé Semaan</cp:lastModifiedBy>
  <cp:revision>7</cp:revision>
  <dcterms:created xsi:type="dcterms:W3CDTF">2011-05-20T08:03:00Z</dcterms:created>
  <dcterms:modified xsi:type="dcterms:W3CDTF">2015-07-20T07:19:00Z</dcterms:modified>
</cp:coreProperties>
</file>